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577F" w14:textId="77777777" w:rsidR="00EE5175" w:rsidRDefault="00EE5175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F2A4C5" wp14:editId="34A81353">
            <wp:simplePos x="0" y="0"/>
            <wp:positionH relativeFrom="margin">
              <wp:posOffset>4167505</wp:posOffset>
            </wp:positionH>
            <wp:positionV relativeFrom="paragraph">
              <wp:posOffset>-731520</wp:posOffset>
            </wp:positionV>
            <wp:extent cx="2369820" cy="10731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53565" w14:textId="77777777" w:rsidR="008702BC" w:rsidRPr="00B70E40" w:rsidRDefault="008702BC" w:rsidP="008702BC">
      <w:pPr>
        <w:pBdr>
          <w:bottom w:val="single" w:sz="4" w:space="1" w:color="auto"/>
        </w:pBdr>
        <w:shd w:val="clear" w:color="auto" w:fill="376795"/>
        <w:jc w:val="center"/>
        <w:rPr>
          <w:rFonts w:ascii="Tahoma" w:hAnsi="Tahoma" w:cs="Tahoma"/>
          <w:color w:val="FFFFFF" w:themeColor="background1"/>
          <w:sz w:val="44"/>
          <w:szCs w:val="44"/>
        </w:rPr>
      </w:pPr>
      <w:r w:rsidRPr="00B70E40">
        <w:rPr>
          <w:rFonts w:ascii="Tahoma" w:hAnsi="Tahoma" w:cs="Tahoma"/>
          <w:color w:val="FFFFFF" w:themeColor="background1"/>
          <w:sz w:val="44"/>
          <w:szCs w:val="44"/>
        </w:rPr>
        <w:t>Note de service</w:t>
      </w:r>
    </w:p>
    <w:p w14:paraId="4A2E59EE" w14:textId="77777777" w:rsidR="008702BC" w:rsidRDefault="008702BC" w:rsidP="008702BC"/>
    <w:p w14:paraId="6F3CCB36" w14:textId="37C7917B" w:rsidR="008702BC" w:rsidRPr="008C1B56" w:rsidRDefault="008702BC" w:rsidP="008702BC">
      <w:pPr>
        <w:rPr>
          <w:rFonts w:ascii="Tahoma" w:hAnsi="Tahoma" w:cs="Tahoma"/>
          <w:sz w:val="28"/>
          <w:szCs w:val="28"/>
        </w:rPr>
      </w:pPr>
      <w:r>
        <w:rPr>
          <w:b/>
          <w:bCs/>
          <w:color w:val="376795"/>
          <w:sz w:val="24"/>
          <w:szCs w:val="24"/>
        </w:rPr>
        <w:t xml:space="preserve">Référence : </w:t>
      </w:r>
      <w:r>
        <w:rPr>
          <w:rFonts w:cs="Arial"/>
          <w:sz w:val="24"/>
          <w:szCs w:val="24"/>
        </w:rPr>
        <w:t>DRH</w:t>
      </w:r>
      <w:r w:rsidR="003E4520">
        <w:rPr>
          <w:rFonts w:cs="Arial"/>
          <w:sz w:val="24"/>
          <w:szCs w:val="24"/>
        </w:rPr>
        <w:t xml:space="preserve"> – 2025 - 001</w:t>
      </w:r>
    </w:p>
    <w:p w14:paraId="0A4CC8F6" w14:textId="77777777" w:rsidR="008702BC" w:rsidRPr="00C6792A" w:rsidRDefault="008702BC" w:rsidP="008702BC">
      <w:pPr>
        <w:rPr>
          <w:b/>
          <w:bCs/>
          <w:sz w:val="24"/>
          <w:szCs w:val="24"/>
        </w:rPr>
      </w:pPr>
      <w:r w:rsidRPr="00C6792A">
        <w:rPr>
          <w:b/>
          <w:bCs/>
          <w:color w:val="376795"/>
          <w:sz w:val="24"/>
          <w:szCs w:val="24"/>
        </w:rPr>
        <w:t>Expéditeur :</w:t>
      </w:r>
      <w:r>
        <w:rPr>
          <w:b/>
          <w:bCs/>
          <w:color w:val="376795"/>
          <w:sz w:val="24"/>
          <w:szCs w:val="24"/>
        </w:rPr>
        <w:t xml:space="preserve"> </w:t>
      </w:r>
      <w:r>
        <w:rPr>
          <w:sz w:val="24"/>
          <w:szCs w:val="24"/>
        </w:rPr>
        <w:t>Direction des Ressources Humaines</w:t>
      </w:r>
    </w:p>
    <w:p w14:paraId="3EC64009" w14:textId="77777777" w:rsidR="008702BC" w:rsidRPr="008C1B56" w:rsidRDefault="008702BC" w:rsidP="008702BC">
      <w:pPr>
        <w:rPr>
          <w:sz w:val="24"/>
          <w:szCs w:val="24"/>
        </w:rPr>
      </w:pPr>
      <w:r w:rsidRPr="00C6792A">
        <w:rPr>
          <w:b/>
          <w:bCs/>
          <w:color w:val="376795"/>
          <w:sz w:val="24"/>
          <w:szCs w:val="24"/>
        </w:rPr>
        <w:t>Destinataire :</w:t>
      </w:r>
      <w:r>
        <w:rPr>
          <w:b/>
          <w:bCs/>
          <w:color w:val="376795"/>
          <w:sz w:val="24"/>
          <w:szCs w:val="24"/>
        </w:rPr>
        <w:t xml:space="preserve"> </w:t>
      </w:r>
      <w:r>
        <w:rPr>
          <w:sz w:val="24"/>
          <w:szCs w:val="24"/>
        </w:rPr>
        <w:t>Ensemble du personnel administratif</w:t>
      </w:r>
    </w:p>
    <w:p w14:paraId="56937BB9" w14:textId="77777777" w:rsidR="008702BC" w:rsidRDefault="008702BC" w:rsidP="008702BC">
      <w:pPr>
        <w:rPr>
          <w:b/>
          <w:bCs/>
          <w:color w:val="376795"/>
          <w:sz w:val="24"/>
          <w:szCs w:val="24"/>
        </w:rPr>
      </w:pPr>
      <w:r w:rsidRPr="00C6792A">
        <w:rPr>
          <w:b/>
          <w:bCs/>
          <w:color w:val="376795"/>
          <w:sz w:val="24"/>
          <w:szCs w:val="24"/>
        </w:rPr>
        <w:t>Cc :</w:t>
      </w:r>
      <w:r>
        <w:rPr>
          <w:b/>
          <w:bCs/>
          <w:color w:val="376795"/>
          <w:sz w:val="24"/>
          <w:szCs w:val="24"/>
        </w:rPr>
        <w:t xml:space="preserve"> </w:t>
      </w:r>
      <w:r w:rsidRPr="004F6470">
        <w:rPr>
          <w:sz w:val="24"/>
          <w:szCs w:val="24"/>
        </w:rPr>
        <w:t>Directeur Général, Cabinet du Directeur</w:t>
      </w:r>
    </w:p>
    <w:p w14:paraId="72FE5BF8" w14:textId="04F2C449" w:rsidR="008702BC" w:rsidRPr="00E05B31" w:rsidRDefault="008702BC" w:rsidP="008702BC">
      <w:pPr>
        <w:rPr>
          <w:sz w:val="24"/>
          <w:szCs w:val="24"/>
        </w:rPr>
      </w:pPr>
      <w:r>
        <w:rPr>
          <w:b/>
          <w:bCs/>
          <w:color w:val="376795"/>
          <w:sz w:val="24"/>
          <w:szCs w:val="24"/>
        </w:rPr>
        <w:t xml:space="preserve">Date d’effet : </w:t>
      </w:r>
      <w:r w:rsidR="00F66CFB">
        <w:rPr>
          <w:b/>
          <w:bCs/>
          <w:sz w:val="24"/>
          <w:szCs w:val="24"/>
        </w:rPr>
        <w:t>1</w:t>
      </w:r>
      <w:r w:rsidR="00B25706">
        <w:rPr>
          <w:b/>
          <w:bCs/>
          <w:sz w:val="24"/>
          <w:szCs w:val="24"/>
        </w:rPr>
        <w:t>3</w:t>
      </w:r>
      <w:r w:rsidR="001300B2">
        <w:rPr>
          <w:b/>
          <w:bCs/>
          <w:sz w:val="24"/>
          <w:szCs w:val="24"/>
        </w:rPr>
        <w:t>/10/202</w:t>
      </w:r>
      <w:r w:rsidR="003C1F98">
        <w:rPr>
          <w:b/>
          <w:bCs/>
          <w:sz w:val="24"/>
          <w:szCs w:val="24"/>
        </w:rPr>
        <w:t>5</w:t>
      </w:r>
    </w:p>
    <w:p w14:paraId="231B2B49" w14:textId="77777777" w:rsidR="008702BC" w:rsidRDefault="008702BC" w:rsidP="008702BC">
      <w:pPr>
        <w:rPr>
          <w:b/>
          <w:bCs/>
          <w:sz w:val="24"/>
          <w:szCs w:val="24"/>
        </w:rPr>
      </w:pPr>
      <w:r>
        <w:rPr>
          <w:b/>
          <w:bCs/>
          <w:color w:val="376795"/>
          <w:sz w:val="24"/>
          <w:szCs w:val="24"/>
        </w:rPr>
        <w:t xml:space="preserve">Objet : </w:t>
      </w:r>
      <w:r>
        <w:rPr>
          <w:b/>
          <w:bCs/>
          <w:sz w:val="24"/>
          <w:szCs w:val="24"/>
        </w:rPr>
        <w:t xml:space="preserve">Compte Epargne Temps </w:t>
      </w:r>
    </w:p>
    <w:p w14:paraId="64586277" w14:textId="77777777" w:rsidR="008702BC" w:rsidRDefault="003E4520" w:rsidP="008702BC">
      <w:pPr>
        <w:rPr>
          <w:rFonts w:ascii="Arial Narrow" w:hAnsi="Arial Narrow"/>
        </w:rPr>
      </w:pPr>
      <w:r>
        <w:rPr>
          <w:b/>
          <w:bCs/>
          <w:sz w:val="24"/>
          <w:szCs w:val="24"/>
        </w:rPr>
        <w:pict w14:anchorId="2EFA375D">
          <v:rect id="_x0000_i1025" style="width:0;height:1.5pt" o:hralign="center" o:hrstd="t" o:hr="t" fillcolor="#a0a0a0" stroked="f"/>
        </w:pict>
      </w:r>
    </w:p>
    <w:p w14:paraId="2DC64BFE" w14:textId="77777777" w:rsidR="0038408B" w:rsidRDefault="0038408B" w:rsidP="003D3929">
      <w:pPr>
        <w:jc w:val="both"/>
        <w:rPr>
          <w:rFonts w:ascii="Arial Narrow" w:hAnsi="Arial Narrow"/>
          <w:b/>
        </w:rPr>
      </w:pPr>
    </w:p>
    <w:p w14:paraId="2B5E242B" w14:textId="77777777" w:rsidR="00615B06" w:rsidRPr="003D3929" w:rsidRDefault="003C5AD2" w:rsidP="003D392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1 - </w:t>
      </w:r>
      <w:r w:rsidR="00615B06" w:rsidRPr="003D3929">
        <w:rPr>
          <w:rFonts w:ascii="Arial Narrow" w:hAnsi="Arial Narrow"/>
          <w:b/>
        </w:rPr>
        <w:t>Présentation du compte épargne-temps (CET)</w:t>
      </w:r>
    </w:p>
    <w:p w14:paraId="559E57BE" w14:textId="77777777" w:rsidR="00615B06" w:rsidRPr="00130A46" w:rsidRDefault="00615B06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 xml:space="preserve">La mise en place d’un </w:t>
      </w:r>
      <w:r w:rsidR="00DA2AC3">
        <w:rPr>
          <w:rFonts w:ascii="Arial Narrow" w:hAnsi="Arial Narrow"/>
        </w:rPr>
        <w:t>C</w:t>
      </w:r>
      <w:r w:rsidRPr="00130A46">
        <w:rPr>
          <w:rFonts w:ascii="Arial Narrow" w:hAnsi="Arial Narrow"/>
        </w:rPr>
        <w:t>ompte</w:t>
      </w:r>
      <w:r w:rsidR="00DA2AC3">
        <w:rPr>
          <w:rFonts w:ascii="Arial Narrow" w:hAnsi="Arial Narrow"/>
        </w:rPr>
        <w:t xml:space="preserve"> E</w:t>
      </w:r>
      <w:r w:rsidRPr="00130A46">
        <w:rPr>
          <w:rFonts w:ascii="Arial Narrow" w:hAnsi="Arial Narrow"/>
        </w:rPr>
        <w:t xml:space="preserve">pargne </w:t>
      </w:r>
      <w:r w:rsidR="00DA2AC3">
        <w:rPr>
          <w:rFonts w:ascii="Arial Narrow" w:hAnsi="Arial Narrow"/>
        </w:rPr>
        <w:t>T</w:t>
      </w:r>
      <w:r w:rsidRPr="00130A46">
        <w:rPr>
          <w:rFonts w:ascii="Arial Narrow" w:hAnsi="Arial Narrow"/>
        </w:rPr>
        <w:t>emps a pour objectif d’assurer une gestion du temps de travail pour les personnels, en leur permettant d’accumuler des droits à congés rémunérés.</w:t>
      </w:r>
    </w:p>
    <w:p w14:paraId="3698F0DC" w14:textId="77777777" w:rsidR="00615B06" w:rsidRPr="00130A46" w:rsidRDefault="00615B06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>Il permet de bénéficier d’un « capital temps » pour réaliser un projet personnel par exemple.</w:t>
      </w:r>
    </w:p>
    <w:p w14:paraId="245D03C9" w14:textId="77777777" w:rsidR="00615B06" w:rsidRPr="00130A46" w:rsidRDefault="00615B06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>Peuvent en bénéficier :</w:t>
      </w:r>
    </w:p>
    <w:p w14:paraId="1F670406" w14:textId="77777777" w:rsidR="00291275" w:rsidRDefault="00615B06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 xml:space="preserve">Les personnels administratifs et techniques titulaires </w:t>
      </w:r>
      <w:r w:rsidR="00291275">
        <w:rPr>
          <w:rFonts w:ascii="Arial Narrow" w:hAnsi="Arial Narrow"/>
        </w:rPr>
        <w:t>et contractuels (CDD, CDI)</w:t>
      </w:r>
    </w:p>
    <w:p w14:paraId="4E121107" w14:textId="77777777" w:rsidR="00291275" w:rsidRDefault="00291275" w:rsidP="00291275">
      <w:pPr>
        <w:pStyle w:val="Paragraphedeliste"/>
        <w:jc w:val="both"/>
        <w:rPr>
          <w:rFonts w:ascii="Arial Narrow" w:hAnsi="Arial Narrow"/>
        </w:rPr>
      </w:pPr>
    </w:p>
    <w:p w14:paraId="262411E3" w14:textId="77777777" w:rsidR="00615B06" w:rsidRPr="00291275" w:rsidRDefault="00615B06" w:rsidP="00291275">
      <w:pPr>
        <w:jc w:val="both"/>
        <w:rPr>
          <w:rFonts w:ascii="Arial Narrow" w:hAnsi="Arial Narrow"/>
        </w:rPr>
      </w:pPr>
      <w:r w:rsidRPr="00291275">
        <w:rPr>
          <w:rFonts w:ascii="Arial Narrow" w:hAnsi="Arial Narrow"/>
        </w:rPr>
        <w:t>Remplissant les conditions suivantes :</w:t>
      </w:r>
    </w:p>
    <w:p w14:paraId="50CEEADC" w14:textId="77777777" w:rsidR="00615B06" w:rsidRPr="00130A46" w:rsidRDefault="00615B06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 xml:space="preserve">Travailler à temps </w:t>
      </w:r>
      <w:r w:rsidR="00625EF8" w:rsidRPr="00130A46">
        <w:rPr>
          <w:rFonts w:ascii="Arial Narrow" w:hAnsi="Arial Narrow"/>
        </w:rPr>
        <w:t>complet,</w:t>
      </w:r>
      <w:r w:rsidRPr="00130A46">
        <w:rPr>
          <w:rFonts w:ascii="Arial Narrow" w:hAnsi="Arial Narrow"/>
        </w:rPr>
        <w:t xml:space="preserve"> temps </w:t>
      </w:r>
      <w:r w:rsidR="00291275">
        <w:rPr>
          <w:rFonts w:ascii="Arial Narrow" w:hAnsi="Arial Narrow"/>
        </w:rPr>
        <w:t xml:space="preserve">non complet, temps </w:t>
      </w:r>
      <w:r w:rsidRPr="00130A46">
        <w:rPr>
          <w:rFonts w:ascii="Arial Narrow" w:hAnsi="Arial Narrow"/>
        </w:rPr>
        <w:t>partiel</w:t>
      </w:r>
    </w:p>
    <w:p w14:paraId="2D14D902" w14:textId="77777777" w:rsidR="00615B06" w:rsidRPr="00130A46" w:rsidRDefault="00615B06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 xml:space="preserve">Avoir accompli </w:t>
      </w:r>
      <w:r w:rsidRPr="00D36606">
        <w:rPr>
          <w:rFonts w:ascii="Arial Narrow" w:hAnsi="Arial Narrow"/>
          <w:b/>
        </w:rPr>
        <w:t>au moins une année de service public de mani</w:t>
      </w:r>
      <w:r w:rsidR="00D36606">
        <w:rPr>
          <w:rFonts w:ascii="Arial Narrow" w:hAnsi="Arial Narrow"/>
          <w:b/>
        </w:rPr>
        <w:t>ère</w:t>
      </w:r>
      <w:r w:rsidRPr="00D36606">
        <w:rPr>
          <w:rFonts w:ascii="Arial Narrow" w:hAnsi="Arial Narrow"/>
          <w:b/>
        </w:rPr>
        <w:t xml:space="preserve"> contin</w:t>
      </w:r>
      <w:r w:rsidR="00D36606" w:rsidRPr="00D36606">
        <w:rPr>
          <w:rFonts w:ascii="Arial Narrow" w:hAnsi="Arial Narrow"/>
          <w:b/>
        </w:rPr>
        <w:t>ue</w:t>
      </w:r>
      <w:r w:rsidRPr="00D36606">
        <w:rPr>
          <w:rFonts w:ascii="Arial Narrow" w:hAnsi="Arial Narrow"/>
          <w:b/>
        </w:rPr>
        <w:t xml:space="preserve"> au sein de l’établissement</w:t>
      </w:r>
      <w:r w:rsidRPr="00130A46">
        <w:rPr>
          <w:rFonts w:ascii="Arial Narrow" w:hAnsi="Arial Narrow"/>
        </w:rPr>
        <w:t xml:space="preserve"> lors de la demande d’ouverture d’un compte épargne-temps</w:t>
      </w:r>
    </w:p>
    <w:p w14:paraId="13D5E876" w14:textId="77777777" w:rsidR="00615B06" w:rsidRPr="00130A46" w:rsidRDefault="00615B06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>Ne sont pas concernés : les enseignants, les fonctionnaires administratifs stagiaires, les emplois aidés, les personnels recrutés comme vacataires, les contractuels de recherche, les doctorants, les ATER.</w:t>
      </w:r>
    </w:p>
    <w:p w14:paraId="1043BC54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119CA49B" w14:textId="77777777" w:rsidR="00615B06" w:rsidRPr="003D3929" w:rsidRDefault="003C5AD2" w:rsidP="003D392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2 - </w:t>
      </w:r>
      <w:r w:rsidR="00615B06" w:rsidRPr="003D3929">
        <w:rPr>
          <w:rFonts w:ascii="Arial Narrow" w:hAnsi="Arial Narrow"/>
          <w:b/>
        </w:rPr>
        <w:t>Ouverture d’un CET</w:t>
      </w:r>
    </w:p>
    <w:p w14:paraId="416389BA" w14:textId="77777777" w:rsidR="003625E4" w:rsidRDefault="00615B06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>L</w:t>
      </w:r>
      <w:r w:rsidR="003625E4">
        <w:rPr>
          <w:rFonts w:ascii="Arial Narrow" w:hAnsi="Arial Narrow"/>
        </w:rPr>
        <w:t>e compte CET est ouvert à la demande de l’agent.</w:t>
      </w:r>
    </w:p>
    <w:p w14:paraId="22A77FFC" w14:textId="77777777" w:rsidR="00615B06" w:rsidRPr="00130A46" w:rsidRDefault="003625E4" w:rsidP="003625E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Dans l’application HAMAC, le premier versement de jours de congés non pris au titre de l’année N</w:t>
      </w:r>
      <w:r w:rsidR="00FE4C26">
        <w:rPr>
          <w:rFonts w:ascii="Arial Narrow" w:hAnsi="Arial Narrow"/>
        </w:rPr>
        <w:t>-</w:t>
      </w:r>
      <w:r w:rsidR="00BE72E0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</w:t>
      </w:r>
      <w:r w:rsidR="00F41CA3">
        <w:rPr>
          <w:rFonts w:ascii="Arial Narrow" w:hAnsi="Arial Narrow"/>
        </w:rPr>
        <w:t xml:space="preserve">durant la campagne CET </w:t>
      </w:r>
      <w:r>
        <w:rPr>
          <w:rFonts w:ascii="Arial Narrow" w:hAnsi="Arial Narrow"/>
        </w:rPr>
        <w:t xml:space="preserve">entraine l’ouverture d’un compte CET. </w:t>
      </w:r>
    </w:p>
    <w:p w14:paraId="0EE5B11B" w14:textId="77777777" w:rsidR="00615B06" w:rsidRPr="00130A46" w:rsidRDefault="00615B06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>Un agent ne peut détenir qu’un seul CET.</w:t>
      </w:r>
    </w:p>
    <w:p w14:paraId="1CC80206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40024FE9" w14:textId="77777777" w:rsidR="004B7E52" w:rsidRDefault="004B7E52" w:rsidP="003D3929">
      <w:pPr>
        <w:jc w:val="both"/>
        <w:rPr>
          <w:rFonts w:ascii="Arial Narrow" w:hAnsi="Arial Narrow"/>
        </w:rPr>
      </w:pPr>
    </w:p>
    <w:p w14:paraId="33C06C2C" w14:textId="77777777" w:rsidR="00615B06" w:rsidRPr="003D3929" w:rsidRDefault="003C5AD2" w:rsidP="003D392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3 - </w:t>
      </w:r>
      <w:r w:rsidR="00615B06" w:rsidRPr="003D3929">
        <w:rPr>
          <w:rFonts w:ascii="Arial Narrow" w:hAnsi="Arial Narrow"/>
          <w:b/>
        </w:rPr>
        <w:t>Transfert d’un CET</w:t>
      </w:r>
    </w:p>
    <w:p w14:paraId="7802953E" w14:textId="77777777" w:rsidR="00615B06" w:rsidRPr="00130A46" w:rsidRDefault="00615B06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lastRenderedPageBreak/>
        <w:t>En cas de départ de Centrale Lille :</w:t>
      </w:r>
    </w:p>
    <w:p w14:paraId="162473BF" w14:textId="77777777" w:rsidR="00615B06" w:rsidRPr="00130A46" w:rsidRDefault="00615B06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>Pour un titulaire : en cas de mutation dans la fonction publique, le CET peut être transféré dans un nouvel établissement,</w:t>
      </w:r>
    </w:p>
    <w:p w14:paraId="0F79228F" w14:textId="77777777" w:rsidR="00615B06" w:rsidRPr="00130A46" w:rsidRDefault="00615B06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 xml:space="preserve">Pour un contractuel : les jours de CET devront être posés en congés avant la fin du contrat. Dans la situation où le CET n’a pas pu être soldé </w:t>
      </w:r>
      <w:r w:rsidR="007A3FF0" w:rsidRPr="00130A46">
        <w:rPr>
          <w:rFonts w:ascii="Arial Narrow" w:hAnsi="Arial Narrow"/>
        </w:rPr>
        <w:t>en raison de nécessités de service après validation du supérieur hiérarchique, les jours inscrits feront l’objet d’une indemnisation.</w:t>
      </w:r>
    </w:p>
    <w:p w14:paraId="352F75F5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78CCFFB5" w14:textId="77777777" w:rsidR="007A3FF0" w:rsidRPr="003D3929" w:rsidRDefault="003C5AD2" w:rsidP="003D392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4 - </w:t>
      </w:r>
      <w:r w:rsidR="007A3FF0" w:rsidRPr="003D3929">
        <w:rPr>
          <w:rFonts w:ascii="Arial Narrow" w:hAnsi="Arial Narrow"/>
          <w:b/>
        </w:rPr>
        <w:t>Unité de calcul</w:t>
      </w:r>
    </w:p>
    <w:p w14:paraId="6B7ABC6F" w14:textId="77777777" w:rsidR="007A3FF0" w:rsidRPr="00130A46" w:rsidRDefault="007A3FF0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 xml:space="preserve">L’unité de calcul du CET est le </w:t>
      </w:r>
      <w:r w:rsidRPr="00FE4C26">
        <w:rPr>
          <w:rFonts w:ascii="Arial Narrow" w:hAnsi="Arial Narrow"/>
          <w:b/>
        </w:rPr>
        <w:t>jour entier ouvré</w:t>
      </w:r>
      <w:r w:rsidRPr="00130A46">
        <w:rPr>
          <w:rFonts w:ascii="Arial Narrow" w:hAnsi="Arial Narrow"/>
        </w:rPr>
        <w:t xml:space="preserve"> pour l’alimentation du compte, pour </w:t>
      </w:r>
      <w:r w:rsidR="000F3C83">
        <w:rPr>
          <w:rFonts w:ascii="Arial Narrow" w:hAnsi="Arial Narrow"/>
        </w:rPr>
        <w:t>l’</w:t>
      </w:r>
      <w:r w:rsidRPr="00130A46">
        <w:rPr>
          <w:rFonts w:ascii="Arial Narrow" w:hAnsi="Arial Narrow"/>
        </w:rPr>
        <w:t xml:space="preserve">utilisation sous forme de congés </w:t>
      </w:r>
      <w:r w:rsidR="00337D90">
        <w:rPr>
          <w:rFonts w:ascii="Arial Narrow" w:hAnsi="Arial Narrow"/>
        </w:rPr>
        <w:t>d</w:t>
      </w:r>
      <w:r w:rsidRPr="00130A46">
        <w:rPr>
          <w:rFonts w:ascii="Arial Narrow" w:hAnsi="Arial Narrow"/>
        </w:rPr>
        <w:t>es jours épargnés, pour l’indemnisation et prise en compte au titre du RAFP.</w:t>
      </w:r>
    </w:p>
    <w:p w14:paraId="5E9BEDED" w14:textId="77777777" w:rsidR="003D3929" w:rsidRPr="00130A46" w:rsidRDefault="003D3929" w:rsidP="003D3929">
      <w:pPr>
        <w:jc w:val="both"/>
        <w:rPr>
          <w:rFonts w:ascii="Arial Narrow" w:hAnsi="Arial Narrow"/>
        </w:rPr>
      </w:pPr>
    </w:p>
    <w:p w14:paraId="1F0383D4" w14:textId="77777777" w:rsidR="007A3FF0" w:rsidRDefault="003C5AD2" w:rsidP="003D392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5 - </w:t>
      </w:r>
      <w:r w:rsidR="007A3FF0" w:rsidRPr="003D3929">
        <w:rPr>
          <w:rFonts w:ascii="Arial Narrow" w:hAnsi="Arial Narrow"/>
          <w:b/>
        </w:rPr>
        <w:t>Alimentation du CET</w:t>
      </w:r>
    </w:p>
    <w:p w14:paraId="64E5109D" w14:textId="77777777" w:rsidR="00DF7AF0" w:rsidRPr="00DF7AF0" w:rsidRDefault="00DF7AF0" w:rsidP="003D3929">
      <w:pPr>
        <w:jc w:val="both"/>
        <w:rPr>
          <w:rFonts w:ascii="Arial Narrow" w:hAnsi="Arial Narrow"/>
          <w:b/>
          <w:u w:val="single"/>
        </w:rPr>
      </w:pPr>
      <w:r w:rsidRPr="00DF7AF0">
        <w:rPr>
          <w:rFonts w:ascii="Arial Narrow" w:hAnsi="Arial Narrow"/>
          <w:b/>
          <w:u w:val="single"/>
        </w:rPr>
        <w:t>Alimentation habituelle du CET</w:t>
      </w:r>
    </w:p>
    <w:p w14:paraId="42BB4481" w14:textId="77777777" w:rsidR="007A3FF0" w:rsidRPr="00130A46" w:rsidRDefault="007A3FF0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>La demande d’alimentation doit faire l’objet d’une demande expresse et individuelle une fois par an selon les modalités techniques figurant en annexe 1 et selon un calendrier figurant en annexe 2.</w:t>
      </w:r>
    </w:p>
    <w:p w14:paraId="253FF12A" w14:textId="77777777" w:rsidR="007A3FF0" w:rsidRDefault="007A3FF0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 xml:space="preserve">En ce qui concerne l’alimentation, ce qui pourra être posé sur le CET correspond à la différence entre les 54 jours (régime horaire de 38h18) </w:t>
      </w:r>
      <w:r w:rsidR="002517B4">
        <w:rPr>
          <w:rFonts w:ascii="Arial Narrow" w:hAnsi="Arial Narrow"/>
        </w:rPr>
        <w:t>ou</w:t>
      </w:r>
      <w:r w:rsidRPr="00130A46">
        <w:rPr>
          <w:rFonts w:ascii="Arial Narrow" w:hAnsi="Arial Narrow"/>
        </w:rPr>
        <w:t xml:space="preserve"> 50 jours (régime horaire de 37h30) de congés moins la journée de solidarité, soit 53 </w:t>
      </w:r>
      <w:r w:rsidR="002517B4">
        <w:rPr>
          <w:rFonts w:ascii="Arial Narrow" w:hAnsi="Arial Narrow"/>
        </w:rPr>
        <w:t xml:space="preserve">ou </w:t>
      </w:r>
      <w:r w:rsidRPr="00130A46">
        <w:rPr>
          <w:rFonts w:ascii="Arial Narrow" w:hAnsi="Arial Narrow"/>
        </w:rPr>
        <w:t>49 jours de congés ouverts et le nombre de jours effectivement pris au titre de cette année universitaire</w:t>
      </w:r>
      <w:r w:rsidR="00DF7AF0">
        <w:rPr>
          <w:rFonts w:ascii="Arial Narrow" w:hAnsi="Arial Narrow"/>
        </w:rPr>
        <w:t xml:space="preserve">, à </w:t>
      </w:r>
      <w:r w:rsidR="00DF7AF0" w:rsidRPr="00636B24">
        <w:rPr>
          <w:rFonts w:ascii="Arial Narrow" w:hAnsi="Arial Narrow"/>
        </w:rPr>
        <w:t>concurrence de 10 jours maximum</w:t>
      </w:r>
      <w:r w:rsidR="00DF7AF0">
        <w:rPr>
          <w:rFonts w:ascii="Arial Narrow" w:hAnsi="Arial Narrow"/>
        </w:rPr>
        <w:t>.</w:t>
      </w:r>
    </w:p>
    <w:p w14:paraId="2113AC1B" w14:textId="77777777" w:rsidR="003D3929" w:rsidRDefault="007A3FF0" w:rsidP="00A169FD">
      <w:pPr>
        <w:jc w:val="both"/>
        <w:rPr>
          <w:rFonts w:ascii="Arial Narrow" w:hAnsi="Arial Narrow"/>
        </w:rPr>
      </w:pPr>
      <w:r w:rsidRPr="003D3929">
        <w:rPr>
          <w:rFonts w:ascii="Arial Narrow" w:hAnsi="Arial Narrow"/>
          <w:u w:val="single"/>
        </w:rPr>
        <w:t>Situation particulière</w:t>
      </w:r>
      <w:r w:rsidR="00A169FD">
        <w:rPr>
          <w:rFonts w:ascii="Arial Narrow" w:hAnsi="Arial Narrow"/>
          <w:u w:val="single"/>
        </w:rPr>
        <w:t> </w:t>
      </w:r>
      <w:r w:rsidR="00A169FD" w:rsidRPr="00A169FD">
        <w:rPr>
          <w:rFonts w:ascii="Arial Narrow" w:hAnsi="Arial Narrow"/>
        </w:rPr>
        <w:t>:</w:t>
      </w:r>
    </w:p>
    <w:p w14:paraId="0ABE451B" w14:textId="77777777" w:rsidR="00DF7AF0" w:rsidRDefault="0027089B" w:rsidP="003D39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Au-delà</w:t>
      </w:r>
      <w:r w:rsidR="00CA118E">
        <w:rPr>
          <w:rFonts w:ascii="Arial Narrow" w:hAnsi="Arial Narrow"/>
        </w:rPr>
        <w:t xml:space="preserve"> du seuil des 15 premiers jours déposés dans le CET, les situations</w:t>
      </w:r>
      <w:r>
        <w:rPr>
          <w:rFonts w:ascii="Arial Narrow" w:hAnsi="Arial Narrow"/>
        </w:rPr>
        <w:t xml:space="preserve"> </w:t>
      </w:r>
      <w:r w:rsidR="006D3FE6" w:rsidRPr="00130A46">
        <w:rPr>
          <w:rFonts w:ascii="Arial Narrow" w:hAnsi="Arial Narrow"/>
        </w:rPr>
        <w:t>qui conduiraient des agents à épargner un nombre supérieur de 1</w:t>
      </w:r>
      <w:r>
        <w:rPr>
          <w:rFonts w:ascii="Arial Narrow" w:hAnsi="Arial Narrow"/>
        </w:rPr>
        <w:t>0</w:t>
      </w:r>
      <w:r w:rsidR="006D3FE6" w:rsidRPr="00130A46">
        <w:rPr>
          <w:rFonts w:ascii="Arial Narrow" w:hAnsi="Arial Narrow"/>
        </w:rPr>
        <w:t xml:space="preserve"> jours de congés non pris par an doivent correspondre à des contraintes de service exceptionnelles et ne sauraient se répéter chaque année. </w:t>
      </w:r>
      <w:r w:rsidR="00625EF8">
        <w:rPr>
          <w:rFonts w:ascii="Arial Narrow" w:hAnsi="Arial Narrow"/>
        </w:rPr>
        <w:t xml:space="preserve">En effet, afin de préserver le bien </w:t>
      </w:r>
      <w:r w:rsidR="00AC63F7">
        <w:rPr>
          <w:rFonts w:ascii="Arial Narrow" w:hAnsi="Arial Narrow"/>
        </w:rPr>
        <w:t>être</w:t>
      </w:r>
      <w:r w:rsidR="00625EF8">
        <w:rPr>
          <w:rFonts w:ascii="Arial Narrow" w:hAnsi="Arial Narrow"/>
        </w:rPr>
        <w:t xml:space="preserve"> des agents </w:t>
      </w:r>
      <w:r w:rsidR="00AC63F7">
        <w:rPr>
          <w:rFonts w:ascii="Arial Narrow" w:hAnsi="Arial Narrow"/>
        </w:rPr>
        <w:t xml:space="preserve">et éviter les difficultés de fonctionnement ultérieur, il convient de faire en sorte que les agents puissent prendre la majorité de leur congés annuels de façon régulière. </w:t>
      </w:r>
    </w:p>
    <w:p w14:paraId="406DC040" w14:textId="77777777" w:rsidR="006D3FE6" w:rsidRPr="00636B24" w:rsidRDefault="00DF7AF0" w:rsidP="003D3929">
      <w:pPr>
        <w:jc w:val="both"/>
        <w:rPr>
          <w:rFonts w:ascii="Arial Narrow" w:hAnsi="Arial Narrow"/>
        </w:rPr>
      </w:pPr>
      <w:r w:rsidRPr="00636B24">
        <w:rPr>
          <w:rFonts w:ascii="Arial Narrow" w:hAnsi="Arial Narrow"/>
        </w:rPr>
        <w:t xml:space="preserve">Soit 54 jrs – 1jr solidarité – CP pris N-1 </w:t>
      </w:r>
      <w:r w:rsidRPr="00636B24">
        <w:rPr>
          <w:rStyle w:val="hgkelc"/>
          <w:rFonts w:ascii="Cambria Math" w:hAnsi="Cambria Math" w:cs="Cambria Math"/>
          <w:b/>
          <w:bCs/>
        </w:rPr>
        <w:t>⩾</w:t>
      </w:r>
      <w:r w:rsidRPr="00636B24">
        <w:rPr>
          <w:rFonts w:ascii="Arial Narrow" w:hAnsi="Arial Narrow"/>
        </w:rPr>
        <w:t xml:space="preserve"> 1</w:t>
      </w:r>
      <w:r w:rsidR="00636B24" w:rsidRPr="00636B24">
        <w:rPr>
          <w:rFonts w:ascii="Arial Narrow" w:hAnsi="Arial Narrow"/>
        </w:rPr>
        <w:t>1</w:t>
      </w:r>
      <w:r w:rsidRPr="00636B24">
        <w:rPr>
          <w:rFonts w:ascii="Arial Narrow" w:hAnsi="Arial Narrow"/>
        </w:rPr>
        <w:t xml:space="preserve"> jrs = pose de congés, congés perdus ou report exceptionnel</w:t>
      </w:r>
    </w:p>
    <w:p w14:paraId="4D752DDE" w14:textId="77777777" w:rsidR="00DF7AF0" w:rsidRPr="00636B24" w:rsidRDefault="00DF7AF0" w:rsidP="003D3929">
      <w:pPr>
        <w:jc w:val="both"/>
        <w:rPr>
          <w:rFonts w:ascii="Arial Narrow" w:hAnsi="Arial Narrow"/>
          <w:sz w:val="20"/>
        </w:rPr>
      </w:pPr>
      <w:r w:rsidRPr="00636B24">
        <w:rPr>
          <w:rFonts w:ascii="Arial Narrow" w:hAnsi="Arial Narrow"/>
        </w:rPr>
        <w:t>Soit 54 jrs – 1jr solidarité – CP pris N-1</w:t>
      </w:r>
      <w:r w:rsidRPr="00636B24">
        <w:rPr>
          <w:rFonts w:ascii="Cambria Math" w:hAnsi="Cambria Math" w:cs="Cambria Math"/>
          <w:b/>
          <w:bCs/>
        </w:rPr>
        <w:t xml:space="preserve"> </w:t>
      </w:r>
      <w:r w:rsidRPr="00636B24">
        <w:rPr>
          <w:rStyle w:val="hgkelc"/>
          <w:rFonts w:ascii="Cambria Math" w:hAnsi="Cambria Math" w:cs="Cambria Math"/>
          <w:b/>
          <w:bCs/>
        </w:rPr>
        <w:t>⩽</w:t>
      </w:r>
      <w:r w:rsidRPr="00636B24">
        <w:rPr>
          <w:rFonts w:ascii="Arial Narrow" w:hAnsi="Arial Narrow"/>
        </w:rPr>
        <w:t>10 jrs = voir conditions du CET</w:t>
      </w:r>
    </w:p>
    <w:p w14:paraId="236D7697" w14:textId="77777777" w:rsidR="006D3FE6" w:rsidRDefault="006D3FE6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 xml:space="preserve">La demande de report des congés non-pris sur l’année N+1 est possible </w:t>
      </w:r>
      <w:r w:rsidRPr="008844A7">
        <w:rPr>
          <w:rFonts w:ascii="Arial Narrow" w:hAnsi="Arial Narrow"/>
          <w:b/>
        </w:rPr>
        <w:t xml:space="preserve">uniquement </w:t>
      </w:r>
      <w:r w:rsidRPr="00130A46">
        <w:rPr>
          <w:rFonts w:ascii="Arial Narrow" w:hAnsi="Arial Narrow"/>
        </w:rPr>
        <w:t xml:space="preserve">sur demande expresse de l’agent auprès du Pôle des Ressources Humaines. Cette demande doit </w:t>
      </w:r>
      <w:r w:rsidR="00AE061A">
        <w:rPr>
          <w:rFonts w:ascii="Arial Narrow" w:hAnsi="Arial Narrow"/>
        </w:rPr>
        <w:t xml:space="preserve">être </w:t>
      </w:r>
      <w:r w:rsidR="00AE061A" w:rsidRPr="00DA2AC3">
        <w:rPr>
          <w:rFonts w:ascii="Arial Narrow" w:hAnsi="Arial Narrow"/>
          <w:b/>
        </w:rPr>
        <w:t>exceptionnelle</w:t>
      </w:r>
      <w:r w:rsidR="00AE061A">
        <w:rPr>
          <w:rFonts w:ascii="Arial Narrow" w:hAnsi="Arial Narrow"/>
        </w:rPr>
        <w:t xml:space="preserve"> et </w:t>
      </w:r>
      <w:r w:rsidRPr="00130A46">
        <w:rPr>
          <w:rFonts w:ascii="Arial Narrow" w:hAnsi="Arial Narrow"/>
        </w:rPr>
        <w:t>soumise</w:t>
      </w:r>
      <w:r w:rsidR="00AE061A">
        <w:rPr>
          <w:rFonts w:ascii="Arial Narrow" w:hAnsi="Arial Narrow"/>
        </w:rPr>
        <w:t xml:space="preserve"> </w:t>
      </w:r>
      <w:r w:rsidR="00AE061A" w:rsidRPr="00DA2AC3">
        <w:rPr>
          <w:rFonts w:ascii="Arial Narrow" w:hAnsi="Arial Narrow"/>
          <w:b/>
        </w:rPr>
        <w:t>préalablement</w:t>
      </w:r>
      <w:r w:rsidRPr="00130A46">
        <w:rPr>
          <w:rFonts w:ascii="Arial Narrow" w:hAnsi="Arial Narrow"/>
        </w:rPr>
        <w:t xml:space="preserve"> à l’accord du supérieur hiérarchique. Elle doit intervenir impérativement avant la fermeture de l’établissement pour la période de Noël.</w:t>
      </w:r>
    </w:p>
    <w:p w14:paraId="396B49A2" w14:textId="77777777" w:rsidR="00A169FD" w:rsidRPr="00130A46" w:rsidRDefault="00A169FD" w:rsidP="00A169FD">
      <w:pPr>
        <w:jc w:val="both"/>
        <w:rPr>
          <w:rFonts w:ascii="Arial Narrow" w:hAnsi="Arial Narrow"/>
        </w:rPr>
      </w:pPr>
      <w:r w:rsidRPr="003D3929">
        <w:rPr>
          <w:rFonts w:ascii="Arial Narrow" w:hAnsi="Arial Narrow"/>
          <w:u w:val="single"/>
        </w:rPr>
        <w:t>Situation particulière des contractuels dev</w:t>
      </w:r>
      <w:r>
        <w:rPr>
          <w:rFonts w:ascii="Arial Narrow" w:hAnsi="Arial Narrow"/>
          <w:u w:val="single"/>
        </w:rPr>
        <w:t>en</w:t>
      </w:r>
      <w:r w:rsidRPr="003D3929">
        <w:rPr>
          <w:rFonts w:ascii="Arial Narrow" w:hAnsi="Arial Narrow"/>
          <w:u w:val="single"/>
        </w:rPr>
        <w:t>ant fonctionnaires stagiaires</w:t>
      </w:r>
      <w:r w:rsidRPr="00130A46">
        <w:rPr>
          <w:rFonts w:ascii="Arial Narrow" w:hAnsi="Arial Narrow"/>
        </w:rPr>
        <w:t> :</w:t>
      </w:r>
    </w:p>
    <w:p w14:paraId="63F4B054" w14:textId="77777777" w:rsidR="00A169FD" w:rsidRDefault="00A169FD" w:rsidP="00A169FD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 xml:space="preserve">L’agent pourra alimenter son </w:t>
      </w:r>
      <w:r>
        <w:rPr>
          <w:rFonts w:ascii="Arial Narrow" w:hAnsi="Arial Narrow"/>
        </w:rPr>
        <w:t>C</w:t>
      </w:r>
      <w:r w:rsidRPr="00130A46">
        <w:rPr>
          <w:rFonts w:ascii="Arial Narrow" w:hAnsi="Arial Narrow"/>
        </w:rPr>
        <w:t xml:space="preserve">ompte </w:t>
      </w:r>
      <w:r>
        <w:rPr>
          <w:rFonts w:ascii="Arial Narrow" w:hAnsi="Arial Narrow"/>
        </w:rPr>
        <w:t>E</w:t>
      </w:r>
      <w:r w:rsidRPr="00130A46">
        <w:rPr>
          <w:rFonts w:ascii="Arial Narrow" w:hAnsi="Arial Narrow"/>
        </w:rPr>
        <w:t>pargne-</w:t>
      </w:r>
      <w:r>
        <w:rPr>
          <w:rFonts w:ascii="Arial Narrow" w:hAnsi="Arial Narrow"/>
        </w:rPr>
        <w:t>T</w:t>
      </w:r>
      <w:r w:rsidRPr="00130A46">
        <w:rPr>
          <w:rFonts w:ascii="Arial Narrow" w:hAnsi="Arial Narrow"/>
        </w:rPr>
        <w:t xml:space="preserve">emps des jours de congés non pris et générés lorsqu’il était sous le statut de contractuel. Lors de la période de stage, les droits acquis au titre du </w:t>
      </w:r>
      <w:r>
        <w:rPr>
          <w:rFonts w:ascii="Arial Narrow" w:hAnsi="Arial Narrow"/>
        </w:rPr>
        <w:t>C</w:t>
      </w:r>
      <w:r w:rsidRPr="00130A46">
        <w:rPr>
          <w:rFonts w:ascii="Arial Narrow" w:hAnsi="Arial Narrow"/>
        </w:rPr>
        <w:t xml:space="preserve">ompte </w:t>
      </w:r>
      <w:r>
        <w:rPr>
          <w:rFonts w:ascii="Arial Narrow" w:hAnsi="Arial Narrow"/>
        </w:rPr>
        <w:t>E</w:t>
      </w:r>
      <w:r w:rsidRPr="00130A46">
        <w:rPr>
          <w:rFonts w:ascii="Arial Narrow" w:hAnsi="Arial Narrow"/>
        </w:rPr>
        <w:t xml:space="preserve">pargne </w:t>
      </w:r>
      <w:r>
        <w:rPr>
          <w:rFonts w:ascii="Arial Narrow" w:hAnsi="Arial Narrow"/>
        </w:rPr>
        <w:t>T</w:t>
      </w:r>
      <w:r w:rsidRPr="00130A46">
        <w:rPr>
          <w:rFonts w:ascii="Arial Narrow" w:hAnsi="Arial Narrow"/>
        </w:rPr>
        <w:t xml:space="preserve">emps seront suspendus, l’agent pourra </w:t>
      </w:r>
      <w:r>
        <w:rPr>
          <w:rFonts w:ascii="Arial Narrow" w:hAnsi="Arial Narrow"/>
        </w:rPr>
        <w:t>à</w:t>
      </w:r>
      <w:r w:rsidRPr="00130A46">
        <w:rPr>
          <w:rFonts w:ascii="Arial Narrow" w:hAnsi="Arial Narrow"/>
        </w:rPr>
        <w:t xml:space="preserve"> nouveau </w:t>
      </w:r>
      <w:r>
        <w:rPr>
          <w:rFonts w:ascii="Arial Narrow" w:hAnsi="Arial Narrow"/>
        </w:rPr>
        <w:t xml:space="preserve">jouir </w:t>
      </w:r>
      <w:r w:rsidRPr="00130A46">
        <w:rPr>
          <w:rFonts w:ascii="Arial Narrow" w:hAnsi="Arial Narrow"/>
        </w:rPr>
        <w:t>de ses droits acquis antérieurement lorsqu’il sera nommé fonctionnaire titulaire.</w:t>
      </w:r>
    </w:p>
    <w:p w14:paraId="60554F01" w14:textId="77777777" w:rsidR="00DF7AF0" w:rsidRDefault="00DF7AF0" w:rsidP="003D3929">
      <w:pPr>
        <w:jc w:val="both"/>
        <w:rPr>
          <w:rFonts w:ascii="Arial Narrow" w:hAnsi="Arial Narrow"/>
        </w:rPr>
      </w:pPr>
    </w:p>
    <w:p w14:paraId="43C4C808" w14:textId="77777777" w:rsidR="006D3FE6" w:rsidRPr="0038408B" w:rsidRDefault="006D3FE6" w:rsidP="003D3929">
      <w:pPr>
        <w:jc w:val="both"/>
        <w:rPr>
          <w:rFonts w:ascii="Arial Narrow" w:hAnsi="Arial Narrow"/>
          <w:b/>
          <w:u w:val="single"/>
        </w:rPr>
      </w:pPr>
      <w:r w:rsidRPr="0038408B">
        <w:rPr>
          <w:rFonts w:ascii="Arial Narrow" w:hAnsi="Arial Narrow"/>
          <w:b/>
          <w:u w:val="single"/>
        </w:rPr>
        <w:t>Attention</w:t>
      </w:r>
      <w:r w:rsidR="00636B24">
        <w:rPr>
          <w:rFonts w:ascii="Arial Narrow" w:hAnsi="Arial Narrow"/>
          <w:b/>
          <w:u w:val="single"/>
        </w:rPr>
        <w:t>, dans tous les cas,</w:t>
      </w:r>
      <w:r w:rsidRPr="0038408B">
        <w:rPr>
          <w:rFonts w:ascii="Arial Narrow" w:hAnsi="Arial Narrow"/>
          <w:b/>
          <w:u w:val="single"/>
        </w:rPr>
        <w:t xml:space="preserve"> les jours de congés non-pris, non-reportés et dont le versement sur le CET n’a pas été demandé au 31 décembre clôturant l’année de référence sont perdus.</w:t>
      </w:r>
    </w:p>
    <w:p w14:paraId="6F3ABF9B" w14:textId="77777777" w:rsidR="006D3FE6" w:rsidRDefault="006D3FE6" w:rsidP="003D3929">
      <w:pPr>
        <w:jc w:val="both"/>
        <w:rPr>
          <w:rFonts w:ascii="Arial Narrow" w:hAnsi="Arial Narrow"/>
          <w:b/>
          <w:u w:val="single"/>
        </w:rPr>
      </w:pPr>
    </w:p>
    <w:p w14:paraId="3BD5A24F" w14:textId="77777777" w:rsidR="006D3FE6" w:rsidRPr="003D3929" w:rsidRDefault="003C5AD2" w:rsidP="003D392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6 - </w:t>
      </w:r>
      <w:r w:rsidR="006D3FE6" w:rsidRPr="003D3929">
        <w:rPr>
          <w:rFonts w:ascii="Arial Narrow" w:hAnsi="Arial Narrow"/>
          <w:b/>
        </w:rPr>
        <w:t>Utilisation des jours accumulés sur le CET</w:t>
      </w:r>
    </w:p>
    <w:p w14:paraId="0DC07410" w14:textId="77777777" w:rsidR="00A200D0" w:rsidRPr="00130A46" w:rsidRDefault="006D3FE6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 xml:space="preserve">Si au terme de l’année civile, après dépôt des jours de congés non-pris, le nombre de jours inscrits sur le CET est inférieur ou égal à 15 jours : les jours épargnés </w:t>
      </w:r>
      <w:r w:rsidR="00A200D0" w:rsidRPr="00130A46">
        <w:rPr>
          <w:rFonts w:ascii="Arial Narrow" w:hAnsi="Arial Narrow"/>
        </w:rPr>
        <w:t xml:space="preserve">ne peuvent être pris que sous forme de congés. </w:t>
      </w:r>
    </w:p>
    <w:p w14:paraId="2B31489B" w14:textId="77777777" w:rsidR="00A200D0" w:rsidRPr="00130A46" w:rsidRDefault="00A200D0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>Si au terme de l’année civile, après dépôt des jours de congés non-pris, les nombre de jours de congés inscrits sur le CET est supérieur</w:t>
      </w:r>
      <w:r w:rsidR="00DA2AC3">
        <w:rPr>
          <w:rFonts w:ascii="Arial Narrow" w:hAnsi="Arial Narrow"/>
        </w:rPr>
        <w:t xml:space="preserve"> ou égal</w:t>
      </w:r>
      <w:r w:rsidRPr="00130A46">
        <w:rPr>
          <w:rFonts w:ascii="Arial Narrow" w:hAnsi="Arial Narrow"/>
        </w:rPr>
        <w:t xml:space="preserve"> à 1</w:t>
      </w:r>
      <w:r w:rsidR="00DA2AC3">
        <w:rPr>
          <w:rFonts w:ascii="Arial Narrow" w:hAnsi="Arial Narrow"/>
        </w:rPr>
        <w:t>6</w:t>
      </w:r>
      <w:r w:rsidRPr="00130A46">
        <w:rPr>
          <w:rFonts w:ascii="Arial Narrow" w:hAnsi="Arial Narrow"/>
        </w:rPr>
        <w:t xml:space="preserve"> jours : l’agent bénéficiaire dispose d’un droit d’option. </w:t>
      </w:r>
    </w:p>
    <w:p w14:paraId="1CBB1E07" w14:textId="77777777" w:rsidR="00A200D0" w:rsidRPr="00DA2AC3" w:rsidRDefault="00A200D0" w:rsidP="00DA2AC3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 w:rsidRPr="00DA2AC3">
        <w:rPr>
          <w:rFonts w:ascii="Arial Narrow" w:hAnsi="Arial Narrow"/>
        </w:rPr>
        <w:t xml:space="preserve">Le droit d’option porte </w:t>
      </w:r>
      <w:r w:rsidR="00A6084C">
        <w:rPr>
          <w:rFonts w:ascii="Arial Narrow" w:hAnsi="Arial Narrow"/>
        </w:rPr>
        <w:t xml:space="preserve">sur le plafond annuel au-delà des </w:t>
      </w:r>
      <w:r w:rsidRPr="00DA2AC3">
        <w:rPr>
          <w:rFonts w:ascii="Arial Narrow" w:hAnsi="Arial Narrow"/>
        </w:rPr>
        <w:t>15</w:t>
      </w:r>
      <w:r w:rsidR="00A6084C">
        <w:rPr>
          <w:rFonts w:ascii="Arial Narrow" w:hAnsi="Arial Narrow"/>
        </w:rPr>
        <w:t xml:space="preserve"> premiers</w:t>
      </w:r>
      <w:r w:rsidRPr="00DA2AC3">
        <w:rPr>
          <w:rFonts w:ascii="Arial Narrow" w:hAnsi="Arial Narrow"/>
        </w:rPr>
        <w:t xml:space="preserve"> jours. Dès lors que l’agent dispose d’un </w:t>
      </w:r>
      <w:r w:rsidR="00DA2AC3">
        <w:rPr>
          <w:rFonts w:ascii="Arial Narrow" w:hAnsi="Arial Narrow"/>
        </w:rPr>
        <w:t xml:space="preserve">solde </w:t>
      </w:r>
      <w:r w:rsidRPr="00DA2AC3">
        <w:rPr>
          <w:rFonts w:ascii="Arial Narrow" w:hAnsi="Arial Narrow"/>
        </w:rPr>
        <w:t xml:space="preserve">CET supérieur à 15 jours, il doit opter </w:t>
      </w:r>
      <w:r w:rsidR="008D4744" w:rsidRPr="00DA2AC3">
        <w:rPr>
          <w:rFonts w:ascii="Arial Narrow" w:hAnsi="Arial Narrow"/>
          <w:b/>
        </w:rPr>
        <w:t>chaque année</w:t>
      </w:r>
      <w:r w:rsidRPr="00DA2AC3">
        <w:rPr>
          <w:rFonts w:ascii="Arial Narrow" w:hAnsi="Arial Narrow"/>
          <w:b/>
        </w:rPr>
        <w:t xml:space="preserve"> </w:t>
      </w:r>
      <w:r w:rsidRPr="00DA2AC3">
        <w:rPr>
          <w:rFonts w:ascii="Arial Narrow" w:hAnsi="Arial Narrow"/>
        </w:rPr>
        <w:t xml:space="preserve">même s’il n’a pas alimenté son CET. </w:t>
      </w:r>
    </w:p>
    <w:p w14:paraId="517BC377" w14:textId="77777777" w:rsidR="00A200D0" w:rsidRPr="00130A46" w:rsidRDefault="00A200D0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>Les 15 premiers jours inscrits sur le CET ne peuvent être utilisés que sous forme de congés.</w:t>
      </w:r>
    </w:p>
    <w:p w14:paraId="14068CAB" w14:textId="77777777" w:rsidR="00A200D0" w:rsidRPr="00130A46" w:rsidRDefault="00A200D0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>Pour les jours excédant</w:t>
      </w:r>
      <w:r w:rsidR="0093032E">
        <w:rPr>
          <w:rFonts w:ascii="Arial Narrow" w:hAnsi="Arial Narrow"/>
        </w:rPr>
        <w:t>s</w:t>
      </w:r>
      <w:r w:rsidRPr="00130A46">
        <w:rPr>
          <w:rFonts w:ascii="Arial Narrow" w:hAnsi="Arial Narrow"/>
        </w:rPr>
        <w:t xml:space="preserve"> le seuil des 15 jours, chacun opte pour une ou plusieurs des trois options suivantes (dans la proportion qu’il souhaite) :</w:t>
      </w:r>
    </w:p>
    <w:p w14:paraId="5A4F26D4" w14:textId="77777777" w:rsidR="00A200D0" w:rsidRPr="00130A46" w:rsidRDefault="00A200D0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>Indemnisation des jours (cas 1) ;</w:t>
      </w:r>
    </w:p>
    <w:p w14:paraId="29918163" w14:textId="77777777" w:rsidR="00A200D0" w:rsidRPr="00130A46" w:rsidRDefault="00A200D0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>Prise en compte au titre de la RAFP (uniquement pour les titulaires) (cas 2) ;</w:t>
      </w:r>
    </w:p>
    <w:p w14:paraId="4E1D7BCB" w14:textId="77777777" w:rsidR="00653078" w:rsidRDefault="00A200D0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 xml:space="preserve">Maintien sous forme de congés, sous réserve que la progression </w:t>
      </w:r>
      <w:r w:rsidR="00653078" w:rsidRPr="00130A46">
        <w:rPr>
          <w:rFonts w:ascii="Arial Narrow" w:hAnsi="Arial Narrow"/>
        </w:rPr>
        <w:t>du nombre de jours inscrits qui en résulte respecte un plafond annuel fixé à 10 jours et que le nombre total de jours figurant sur le compte n’excède pas un plafond global fixé à 60 jours (cas 3).</w:t>
      </w:r>
    </w:p>
    <w:p w14:paraId="473E4B6F" w14:textId="77777777" w:rsidR="00653078" w:rsidRPr="003D3929" w:rsidRDefault="00653078" w:rsidP="003D3929">
      <w:pPr>
        <w:jc w:val="both"/>
        <w:rPr>
          <w:rFonts w:ascii="Arial Narrow" w:hAnsi="Arial Narrow"/>
          <w:b/>
        </w:rPr>
      </w:pPr>
      <w:r w:rsidRPr="003D3929">
        <w:rPr>
          <w:rFonts w:ascii="Arial Narrow" w:hAnsi="Arial Narrow"/>
          <w:b/>
        </w:rPr>
        <w:t>Si l’agent titulaire n’opte pas, il est réputé pour avoir choisi une prise en compte au titre du RAFP.</w:t>
      </w:r>
    </w:p>
    <w:p w14:paraId="3BE0CD99" w14:textId="77777777" w:rsidR="00653078" w:rsidRPr="003D3929" w:rsidRDefault="00653078" w:rsidP="003D3929">
      <w:pPr>
        <w:jc w:val="both"/>
        <w:rPr>
          <w:rFonts w:ascii="Arial Narrow" w:hAnsi="Arial Narrow"/>
          <w:b/>
        </w:rPr>
      </w:pPr>
      <w:r w:rsidRPr="003D3929">
        <w:rPr>
          <w:rFonts w:ascii="Arial Narrow" w:hAnsi="Arial Narrow"/>
          <w:b/>
        </w:rPr>
        <w:t>Si l’agent non titulaire n’opte pas, il est réputé pour avoir choisi l’indemnisation des jours excédant le seuil de 15 jours</w:t>
      </w:r>
      <w:r w:rsidR="005D692A">
        <w:rPr>
          <w:rFonts w:ascii="Arial Narrow" w:hAnsi="Arial Narrow"/>
          <w:b/>
        </w:rPr>
        <w:t xml:space="preserve"> </w:t>
      </w:r>
      <w:r w:rsidR="005D692A" w:rsidRPr="0093032E">
        <w:rPr>
          <w:rFonts w:ascii="Arial Narrow" w:hAnsi="Arial Narrow"/>
          <w:b/>
        </w:rPr>
        <w:t>dans la limite du plafond annuel</w:t>
      </w:r>
      <w:r w:rsidR="005D692A">
        <w:rPr>
          <w:rFonts w:ascii="Arial Narrow" w:hAnsi="Arial Narrow"/>
          <w:b/>
        </w:rPr>
        <w:t>.</w:t>
      </w:r>
    </w:p>
    <w:p w14:paraId="3A3C2C1E" w14:textId="77777777" w:rsidR="00653078" w:rsidRPr="00130A46" w:rsidRDefault="00653078" w:rsidP="003D3929">
      <w:pPr>
        <w:jc w:val="both"/>
        <w:rPr>
          <w:rFonts w:ascii="Arial Narrow" w:hAnsi="Arial Narrow"/>
        </w:rPr>
      </w:pPr>
    </w:p>
    <w:p w14:paraId="317543F4" w14:textId="77777777" w:rsidR="00653078" w:rsidRPr="003D3929" w:rsidRDefault="00653078" w:rsidP="003D3929">
      <w:pPr>
        <w:jc w:val="both"/>
        <w:rPr>
          <w:rFonts w:ascii="Arial Narrow" w:hAnsi="Arial Narrow"/>
          <w:i/>
          <w:u w:val="single"/>
        </w:rPr>
      </w:pPr>
      <w:r w:rsidRPr="003D3929">
        <w:rPr>
          <w:rFonts w:ascii="Arial Narrow" w:hAnsi="Arial Narrow"/>
          <w:i/>
          <w:u w:val="single"/>
        </w:rPr>
        <w:t>Cas 1 : indemnisation des jours</w:t>
      </w:r>
    </w:p>
    <w:p w14:paraId="7ABCC54C" w14:textId="77777777" w:rsidR="00653078" w:rsidRPr="00130A46" w:rsidRDefault="00653078" w:rsidP="003D3929">
      <w:pPr>
        <w:jc w:val="both"/>
        <w:rPr>
          <w:rFonts w:ascii="Arial Narrow" w:hAnsi="Arial Narrow"/>
        </w:rPr>
      </w:pPr>
      <w:r w:rsidRPr="00130A46">
        <w:rPr>
          <w:rFonts w:ascii="Arial Narrow" w:hAnsi="Arial Narrow"/>
        </w:rPr>
        <w:t xml:space="preserve">Si l’agent opte pour l’indemnisation de tout ou partie des jours excédant le seuil des 15 jours, il sera indemnisé à hauteur de </w:t>
      </w:r>
      <w:r w:rsidR="00F83697">
        <w:rPr>
          <w:rFonts w:ascii="Arial Narrow" w:hAnsi="Arial Narrow"/>
        </w:rPr>
        <w:t>83</w:t>
      </w:r>
      <w:r w:rsidRPr="00130A46">
        <w:rPr>
          <w:rFonts w:ascii="Arial Narrow" w:hAnsi="Arial Narrow"/>
        </w:rPr>
        <w:t xml:space="preserve"> euros (brut) par jour pour les catégories C, </w:t>
      </w:r>
      <w:r w:rsidR="00F83697">
        <w:rPr>
          <w:rFonts w:ascii="Arial Narrow" w:hAnsi="Arial Narrow"/>
        </w:rPr>
        <w:t>100</w:t>
      </w:r>
      <w:r w:rsidRPr="00130A46">
        <w:rPr>
          <w:rFonts w:ascii="Arial Narrow" w:hAnsi="Arial Narrow"/>
        </w:rPr>
        <w:t xml:space="preserve"> euros (brut) par jour pour les catégories B, 1</w:t>
      </w:r>
      <w:r w:rsidR="00F83697">
        <w:rPr>
          <w:rFonts w:ascii="Arial Narrow" w:hAnsi="Arial Narrow"/>
        </w:rPr>
        <w:t>50</w:t>
      </w:r>
      <w:r w:rsidRPr="00130A46">
        <w:rPr>
          <w:rFonts w:ascii="Arial Narrow" w:hAnsi="Arial Narrow"/>
        </w:rPr>
        <w:t xml:space="preserve"> euros (brut) par jour pour </w:t>
      </w:r>
      <w:r w:rsidR="008D4744">
        <w:rPr>
          <w:rFonts w:ascii="Arial Narrow" w:hAnsi="Arial Narrow"/>
        </w:rPr>
        <w:t>l</w:t>
      </w:r>
      <w:r w:rsidRPr="00130A46">
        <w:rPr>
          <w:rFonts w:ascii="Arial Narrow" w:hAnsi="Arial Narrow"/>
        </w:rPr>
        <w:t xml:space="preserve">es catégories A. Le versement est effectué en une seule fois sur l’année de la demande. </w:t>
      </w:r>
    </w:p>
    <w:p w14:paraId="36E9F6C3" w14:textId="77777777" w:rsidR="00653078" w:rsidRPr="00130A46" w:rsidRDefault="00653078" w:rsidP="003D3929">
      <w:pPr>
        <w:jc w:val="both"/>
        <w:rPr>
          <w:rFonts w:ascii="Arial Narrow" w:hAnsi="Arial Narrow"/>
        </w:rPr>
      </w:pPr>
    </w:p>
    <w:p w14:paraId="48AC5DF2" w14:textId="77777777" w:rsidR="00653078" w:rsidRPr="003D3929" w:rsidRDefault="00653078" w:rsidP="003D3929">
      <w:pPr>
        <w:jc w:val="both"/>
        <w:rPr>
          <w:rFonts w:ascii="Arial Narrow" w:hAnsi="Arial Narrow"/>
          <w:i/>
          <w:u w:val="single"/>
        </w:rPr>
      </w:pPr>
      <w:r w:rsidRPr="003D3929">
        <w:rPr>
          <w:rFonts w:ascii="Arial Narrow" w:hAnsi="Arial Narrow"/>
          <w:i/>
          <w:u w:val="single"/>
        </w:rPr>
        <w:t>Cas 2</w:t>
      </w:r>
      <w:r w:rsidR="006737D5" w:rsidRPr="003D3929">
        <w:rPr>
          <w:rFonts w:ascii="Arial Narrow" w:hAnsi="Arial Narrow"/>
          <w:i/>
          <w:u w:val="single"/>
        </w:rPr>
        <w:t> : prise en compte des jours au titre de la RAFP (pour les agents titulaires)</w:t>
      </w:r>
    </w:p>
    <w:p w14:paraId="179CF538" w14:textId="77777777" w:rsidR="006737D5" w:rsidRDefault="006737D5" w:rsidP="003D39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Un agent </w:t>
      </w:r>
      <w:r w:rsidR="005B3ED1">
        <w:rPr>
          <w:rFonts w:ascii="Arial Narrow" w:hAnsi="Arial Narrow"/>
        </w:rPr>
        <w:t>titulaire peut demander la transformation en épargne retraite sous forme de points du RAFP de tout ou partie des jours dépassant le seuil des 15 jours</w:t>
      </w:r>
      <w:r w:rsidR="00C821FD">
        <w:rPr>
          <w:rFonts w:ascii="Arial Narrow" w:hAnsi="Arial Narrow"/>
        </w:rPr>
        <w:t xml:space="preserve"> </w:t>
      </w:r>
      <w:r w:rsidR="00C821FD" w:rsidRPr="004B2F8C">
        <w:rPr>
          <w:rFonts w:ascii="Arial Narrow" w:hAnsi="Arial Narrow"/>
        </w:rPr>
        <w:t>dans la limite du plafond annuel.</w:t>
      </w:r>
    </w:p>
    <w:p w14:paraId="7B7812D2" w14:textId="77777777" w:rsidR="005B3ED1" w:rsidRDefault="005B3ED1" w:rsidP="003D39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Le montant qui sera versé au titre du RAFP est égal au montant de l’indemnisation prévue ci-dessus, de laquelle sont retranché</w:t>
      </w:r>
      <w:r w:rsidR="008D4744">
        <w:rPr>
          <w:rFonts w:ascii="Arial Narrow" w:hAnsi="Arial Narrow"/>
        </w:rPr>
        <w:t>e</w:t>
      </w:r>
      <w:r>
        <w:rPr>
          <w:rFonts w:ascii="Arial Narrow" w:hAnsi="Arial Narrow"/>
        </w:rPr>
        <w:t>s la CSG et CRDS.</w:t>
      </w:r>
    </w:p>
    <w:p w14:paraId="48770C4F" w14:textId="77777777" w:rsidR="005B3ED1" w:rsidRDefault="005B3ED1" w:rsidP="003D39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Par exemple pour un agent de Catégorie A, le montant versé sera équivalent à 1</w:t>
      </w:r>
      <w:r w:rsidR="00B5441B">
        <w:rPr>
          <w:rFonts w:ascii="Arial Narrow" w:hAnsi="Arial Narrow"/>
        </w:rPr>
        <w:t>50</w:t>
      </w:r>
      <w:r>
        <w:rPr>
          <w:rFonts w:ascii="Arial Narrow" w:hAnsi="Arial Narrow"/>
        </w:rPr>
        <w:t xml:space="preserve"> euros – CSG/CRDS soit 1</w:t>
      </w:r>
      <w:r w:rsidR="00B5441B">
        <w:rPr>
          <w:rFonts w:ascii="Arial Narrow" w:hAnsi="Arial Narrow"/>
        </w:rPr>
        <w:t>35.</w:t>
      </w:r>
      <w:r w:rsidR="001300B2">
        <w:rPr>
          <w:rFonts w:ascii="Arial Narrow" w:hAnsi="Arial Narrow"/>
        </w:rPr>
        <w:t>70</w:t>
      </w:r>
      <w:r>
        <w:rPr>
          <w:rFonts w:ascii="Arial Narrow" w:hAnsi="Arial Narrow"/>
        </w:rPr>
        <w:t xml:space="preserve"> euros versés sous forme de </w:t>
      </w:r>
      <w:r w:rsidR="00D36606">
        <w:rPr>
          <w:rFonts w:ascii="Arial Narrow" w:hAnsi="Arial Narrow"/>
        </w:rPr>
        <w:t>cotisation</w:t>
      </w:r>
      <w:r>
        <w:rPr>
          <w:rFonts w:ascii="Arial Narrow" w:hAnsi="Arial Narrow"/>
        </w:rPr>
        <w:t xml:space="preserve"> au RAFP.</w:t>
      </w:r>
    </w:p>
    <w:p w14:paraId="1A1FFCA8" w14:textId="77777777" w:rsidR="005B3ED1" w:rsidRDefault="005B3ED1" w:rsidP="003D39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est possible de faire une estimation via le site suivant : </w:t>
      </w:r>
      <w:hyperlink r:id="rId8" w:history="1">
        <w:r w:rsidRPr="00520E97">
          <w:rPr>
            <w:rStyle w:val="Lienhypertexte"/>
            <w:rFonts w:ascii="Arial Narrow" w:hAnsi="Arial Narrow"/>
          </w:rPr>
          <w:t>www.rafp.fr</w:t>
        </w:r>
      </w:hyperlink>
    </w:p>
    <w:p w14:paraId="582C7738" w14:textId="77777777" w:rsidR="005B3ED1" w:rsidRDefault="005B3ED1" w:rsidP="003D3929">
      <w:pPr>
        <w:jc w:val="both"/>
        <w:rPr>
          <w:rFonts w:ascii="Arial Narrow" w:hAnsi="Arial Narrow"/>
        </w:rPr>
      </w:pPr>
    </w:p>
    <w:p w14:paraId="3CE69668" w14:textId="77777777" w:rsidR="005B3ED1" w:rsidRPr="003D3929" w:rsidRDefault="005B3ED1" w:rsidP="003D3929">
      <w:pPr>
        <w:jc w:val="both"/>
        <w:rPr>
          <w:rFonts w:ascii="Arial Narrow" w:hAnsi="Arial Narrow"/>
          <w:i/>
          <w:u w:val="single"/>
        </w:rPr>
      </w:pPr>
      <w:r w:rsidRPr="003D3929">
        <w:rPr>
          <w:rFonts w:ascii="Arial Narrow" w:hAnsi="Arial Narrow"/>
          <w:i/>
          <w:u w:val="single"/>
        </w:rPr>
        <w:t>Cas 3 : Maintien sous forme de congés</w:t>
      </w:r>
    </w:p>
    <w:p w14:paraId="7524DF4E" w14:textId="77777777" w:rsidR="005B3ED1" w:rsidRDefault="005B3ED1" w:rsidP="003D39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Un agent peut choisir de maintenir sous forme de congés les jours de son CET en respectant les deux limites suivantes :</w:t>
      </w:r>
    </w:p>
    <w:p w14:paraId="315980AC" w14:textId="68E4DB55" w:rsidR="005B3ED1" w:rsidRPr="00B25706" w:rsidRDefault="005B3ED1" w:rsidP="00B25706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Si le solde du CET est supérieur à 15 jours, le dépôt de jours supplémentaires maintenus sous forme de congés ne peut être supérieur à 10 jours par an (progression annuelle maximale de 10 jours)</w:t>
      </w:r>
      <w:r w:rsidR="00C821FD">
        <w:rPr>
          <w:rFonts w:ascii="Arial Narrow" w:hAnsi="Arial Narrow"/>
        </w:rPr>
        <w:t xml:space="preserve"> </w:t>
      </w:r>
    </w:p>
    <w:p w14:paraId="51AA20D9" w14:textId="6900BF5B" w:rsidR="00C821FD" w:rsidRPr="00C821FD" w:rsidRDefault="005B3ED1" w:rsidP="00C821FD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lastRenderedPageBreak/>
        <w:t>Le nombre global de jours figurant sur le CET au terme du droit d’option ne peut excéder 60 jours (plafond global de jours pouvant être maintenus sur le CET).</w:t>
      </w:r>
      <w:r w:rsidR="00C821FD">
        <w:rPr>
          <w:rFonts w:ascii="Arial Narrow" w:hAnsi="Arial Narrow"/>
        </w:rPr>
        <w:t xml:space="preserve"> </w:t>
      </w:r>
    </w:p>
    <w:p w14:paraId="06BB00EC" w14:textId="77777777" w:rsidR="00C821FD" w:rsidRDefault="00C821FD" w:rsidP="003D3929">
      <w:pPr>
        <w:pStyle w:val="Paragraphedeliste"/>
        <w:jc w:val="both"/>
        <w:rPr>
          <w:rFonts w:ascii="Arial Narrow" w:hAnsi="Arial Narrow"/>
        </w:rPr>
      </w:pPr>
    </w:p>
    <w:p w14:paraId="4F1F1A47" w14:textId="77777777" w:rsidR="005B3ED1" w:rsidRDefault="005B3ED1" w:rsidP="003D3929">
      <w:pPr>
        <w:pStyle w:val="Paragraphedeliste"/>
        <w:jc w:val="both"/>
        <w:rPr>
          <w:rFonts w:ascii="Arial Narrow" w:hAnsi="Arial Narrow"/>
        </w:rPr>
      </w:pPr>
      <w:r w:rsidRPr="003D3929">
        <w:rPr>
          <w:rFonts w:ascii="Arial Narrow" w:hAnsi="Arial Narrow"/>
        </w:rPr>
        <w:t>Ces jours pourront alors être utilisés via le logiciel Hamac (voir annexe 3).</w:t>
      </w:r>
    </w:p>
    <w:p w14:paraId="773FE6A3" w14:textId="77777777" w:rsidR="003D3929" w:rsidRPr="003D3929" w:rsidRDefault="003D3929" w:rsidP="003D3929">
      <w:pPr>
        <w:pStyle w:val="Paragraphedeliste"/>
        <w:jc w:val="both"/>
        <w:rPr>
          <w:rFonts w:ascii="Arial Narrow" w:hAnsi="Arial Narrow"/>
          <w:i/>
        </w:rPr>
      </w:pPr>
    </w:p>
    <w:p w14:paraId="697FFB0A" w14:textId="77777777" w:rsidR="005B3ED1" w:rsidRDefault="003D3929" w:rsidP="003D3929">
      <w:pPr>
        <w:pStyle w:val="Paragraphedeliste"/>
        <w:jc w:val="both"/>
        <w:rPr>
          <w:rFonts w:ascii="Arial Narrow" w:hAnsi="Arial Narrow"/>
          <w:i/>
        </w:rPr>
      </w:pPr>
      <w:r w:rsidRPr="003D3929">
        <w:rPr>
          <w:rFonts w:ascii="Arial Narrow" w:hAnsi="Arial Narrow"/>
          <w:i/>
        </w:rPr>
        <w:t>*</w:t>
      </w:r>
      <w:r w:rsidR="005B3ED1" w:rsidRPr="003D3929">
        <w:rPr>
          <w:rFonts w:ascii="Arial Narrow" w:hAnsi="Arial Narrow"/>
          <w:i/>
        </w:rPr>
        <w:t xml:space="preserve">Dès lors que le seuil des 15 jours est atteint (avant alimentation ou en cours d’alimentation du CET) la progression annuelle ne saurait être supérieure à 10 jours. </w:t>
      </w:r>
    </w:p>
    <w:p w14:paraId="6DCEAA56" w14:textId="77777777" w:rsidR="003D3929" w:rsidRPr="003D3929" w:rsidRDefault="003D3929" w:rsidP="003D3929">
      <w:pPr>
        <w:pStyle w:val="Paragraphedeliste"/>
        <w:jc w:val="both"/>
        <w:rPr>
          <w:rFonts w:ascii="Arial Narrow" w:hAnsi="Arial Narrow"/>
          <w:i/>
        </w:rPr>
      </w:pPr>
    </w:p>
    <w:p w14:paraId="2C69A12D" w14:textId="51AA7B2D" w:rsidR="005B3ED1" w:rsidRDefault="005B3ED1" w:rsidP="003D39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Si votre </w:t>
      </w:r>
      <w:r w:rsidR="00DA2AC3">
        <w:rPr>
          <w:rFonts w:ascii="Arial Narrow" w:hAnsi="Arial Narrow"/>
        </w:rPr>
        <w:t>C</w:t>
      </w:r>
      <w:r>
        <w:rPr>
          <w:rFonts w:ascii="Arial Narrow" w:hAnsi="Arial Narrow"/>
        </w:rPr>
        <w:t xml:space="preserve">ompte </w:t>
      </w:r>
      <w:r w:rsidR="00DA2AC3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pargne </w:t>
      </w:r>
      <w:r w:rsidR="00DA2AC3">
        <w:rPr>
          <w:rFonts w:ascii="Arial Narrow" w:hAnsi="Arial Narrow"/>
        </w:rPr>
        <w:t>T</w:t>
      </w:r>
      <w:r>
        <w:rPr>
          <w:rFonts w:ascii="Arial Narrow" w:hAnsi="Arial Narrow"/>
        </w:rPr>
        <w:t>emps comptabilise plus de 60 jours, vous ne pourrez épargner à nouveau des jours que lorsque votre CET repassera en dessous des 60 jours.</w:t>
      </w:r>
    </w:p>
    <w:p w14:paraId="6B58FF9B" w14:textId="77777777" w:rsidR="00C821FD" w:rsidRDefault="00C821FD" w:rsidP="003D3929">
      <w:pPr>
        <w:jc w:val="both"/>
        <w:rPr>
          <w:rFonts w:ascii="Arial Narrow" w:hAnsi="Arial Narrow"/>
        </w:rPr>
      </w:pPr>
    </w:p>
    <w:p w14:paraId="5052C95B" w14:textId="77777777" w:rsidR="004B7E52" w:rsidRDefault="004B7E52" w:rsidP="003D3929">
      <w:pPr>
        <w:jc w:val="both"/>
        <w:rPr>
          <w:rFonts w:ascii="Arial Narrow" w:hAnsi="Arial Narrow"/>
        </w:rPr>
      </w:pPr>
    </w:p>
    <w:p w14:paraId="13037F34" w14:textId="77777777" w:rsidR="00C70FD1" w:rsidRDefault="00C70FD1" w:rsidP="003D3929">
      <w:pPr>
        <w:jc w:val="both"/>
        <w:rPr>
          <w:rFonts w:ascii="Arial Narrow" w:hAnsi="Arial Narrow"/>
          <w:b/>
        </w:rPr>
      </w:pPr>
      <w:r w:rsidRPr="003D3929">
        <w:rPr>
          <w:rFonts w:ascii="Arial Narrow" w:hAnsi="Arial Narrow"/>
          <w:b/>
        </w:rPr>
        <w:t>Plus d’informations sur le CET</w:t>
      </w:r>
    </w:p>
    <w:p w14:paraId="0833AAE3" w14:textId="77777777" w:rsidR="004B7E52" w:rsidRPr="003D3929" w:rsidRDefault="004B7E52" w:rsidP="003D3929">
      <w:pPr>
        <w:jc w:val="both"/>
        <w:rPr>
          <w:rFonts w:ascii="Arial Narrow" w:hAnsi="Arial Narrow"/>
          <w:b/>
        </w:rPr>
      </w:pPr>
    </w:p>
    <w:p w14:paraId="412F7465" w14:textId="77777777" w:rsidR="00C70FD1" w:rsidRDefault="00C70FD1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Décret n°2002-634 du 29 avril 2002 modifié portant création d’un compte épargne-temps dans la fonction publique d’Etat</w:t>
      </w:r>
    </w:p>
    <w:p w14:paraId="54912DCB" w14:textId="77777777" w:rsidR="00C70FD1" w:rsidRDefault="00C70FD1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Décret n°2018-1305 du 27 décembre 2018 relatif à la conservation des droits à congés acquis au titre d’un compte épargne-temps en cas de mobilité des agents dans la fonction publique</w:t>
      </w:r>
    </w:p>
    <w:p w14:paraId="60969C30" w14:textId="77777777" w:rsidR="00C70FD1" w:rsidRDefault="00C70FD1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Arrêté du 28 juillet 2004 portant application dans les services déconcentrés et établissements relevant du ministère de l’éducation nationale du décret du 29 avril 2002 portant création du compte épargne-temps dans la fonction publique de l’Etat et dans la magistrature</w:t>
      </w:r>
    </w:p>
    <w:p w14:paraId="0CF2B64E" w14:textId="77777777" w:rsidR="00C70FD1" w:rsidRDefault="00C70FD1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Arrêté du 11 mai 2020 relatif à la mise en œuvre de dispositions temporaires en matière de compte épargne-temps dans la fonction publique de l’Etat et dans la magistrature afin de faire face aux conséquences de l’</w:t>
      </w:r>
      <w:r w:rsidR="00F877F3">
        <w:rPr>
          <w:rFonts w:ascii="Arial Narrow" w:hAnsi="Arial Narrow"/>
        </w:rPr>
        <w:t>épidémie</w:t>
      </w:r>
      <w:r>
        <w:rPr>
          <w:rFonts w:ascii="Arial Narrow" w:hAnsi="Arial Narrow"/>
        </w:rPr>
        <w:t xml:space="preserve"> de COVID-19</w:t>
      </w:r>
    </w:p>
    <w:p w14:paraId="56489225" w14:textId="77777777" w:rsidR="007324A5" w:rsidRDefault="007324A5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Arrêté du 24 novembre 2023, fixant les montants des jours indemnisés dans le cadre du Compte Epargne Temps</w:t>
      </w:r>
    </w:p>
    <w:p w14:paraId="391B7E0B" w14:textId="77777777" w:rsidR="00C821FD" w:rsidRPr="0093032E" w:rsidRDefault="00C821FD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 w:rsidRPr="0093032E">
        <w:rPr>
          <w:rFonts w:ascii="Arial Narrow" w:hAnsi="Arial Narrow"/>
        </w:rPr>
        <w:t>’Arrêté du 22 février 2024 créant des dispositions temporaires en matière de compte épargne-temps dans la fonction publique de l’Etat et dans la magistrature en raison de l’organisation des jeux Olympiques et Paralympiques.</w:t>
      </w:r>
    </w:p>
    <w:p w14:paraId="6EBF3559" w14:textId="77777777" w:rsidR="00C70FD1" w:rsidRDefault="00C70FD1" w:rsidP="003D3929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Circulaire MEN-DGRH C1-2 n°2010-205 du 17 septembre 2010</w:t>
      </w:r>
    </w:p>
    <w:p w14:paraId="386E90DE" w14:textId="77777777" w:rsidR="003D3929" w:rsidRPr="003D3929" w:rsidRDefault="003D3929" w:rsidP="003D3929">
      <w:pPr>
        <w:jc w:val="both"/>
        <w:rPr>
          <w:rFonts w:ascii="Arial Narrow" w:hAnsi="Arial Narrow"/>
        </w:rPr>
      </w:pPr>
    </w:p>
    <w:p w14:paraId="04B8601B" w14:textId="77777777" w:rsidR="00C70FD1" w:rsidRDefault="00C70FD1" w:rsidP="003D39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Le Pôle des Ressources Humaines se tient à votre disposition pour toutes informations complémentaires.</w:t>
      </w:r>
    </w:p>
    <w:p w14:paraId="304B9BEA" w14:textId="06BDBF31" w:rsidR="0038408B" w:rsidRDefault="00C70FD1" w:rsidP="0038408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Fait à Villeneuve d’Ascq, le </w:t>
      </w:r>
      <w:r w:rsidR="0093032E">
        <w:rPr>
          <w:rFonts w:ascii="Arial Narrow" w:hAnsi="Arial Narrow"/>
        </w:rPr>
        <w:t>1</w:t>
      </w:r>
      <w:r w:rsidR="00B25706">
        <w:rPr>
          <w:rFonts w:ascii="Arial Narrow" w:hAnsi="Arial Narrow"/>
        </w:rPr>
        <w:t>3</w:t>
      </w:r>
      <w:r w:rsidR="0038408B">
        <w:rPr>
          <w:rFonts w:ascii="Arial Narrow" w:hAnsi="Arial Narrow"/>
        </w:rPr>
        <w:t xml:space="preserve"> octobre</w:t>
      </w:r>
      <w:r w:rsidR="007324A5">
        <w:rPr>
          <w:rFonts w:ascii="Arial Narrow" w:hAnsi="Arial Narrow"/>
        </w:rPr>
        <w:t xml:space="preserve"> 202</w:t>
      </w:r>
      <w:r w:rsidR="00B25706">
        <w:rPr>
          <w:rFonts w:ascii="Arial Narrow" w:hAnsi="Arial Narrow"/>
        </w:rPr>
        <w:t>5</w:t>
      </w:r>
    </w:p>
    <w:p w14:paraId="5FA92B02" w14:textId="77777777" w:rsidR="00671F67" w:rsidRDefault="00671F67" w:rsidP="0038408B">
      <w:pPr>
        <w:jc w:val="both"/>
        <w:rPr>
          <w:rFonts w:ascii="Arial Narrow" w:hAnsi="Arial Narrow"/>
        </w:rPr>
      </w:pPr>
    </w:p>
    <w:p w14:paraId="77E3E51B" w14:textId="77777777" w:rsidR="003D3929" w:rsidRPr="003D3929" w:rsidRDefault="00B248B0" w:rsidP="00B248B0">
      <w:pPr>
        <w:tabs>
          <w:tab w:val="left" w:pos="524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3D3929" w:rsidRPr="003D3929">
        <w:rPr>
          <w:rFonts w:ascii="Arial Narrow" w:hAnsi="Arial Narrow"/>
          <w:b/>
        </w:rPr>
        <w:t>Thomas Maurer</w:t>
      </w:r>
    </w:p>
    <w:p w14:paraId="7CD946E6" w14:textId="77777777" w:rsidR="003D3929" w:rsidRDefault="00B248B0" w:rsidP="00B248B0">
      <w:pPr>
        <w:tabs>
          <w:tab w:val="left" w:pos="524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D3929">
        <w:rPr>
          <w:rFonts w:ascii="Arial Narrow" w:hAnsi="Arial Narrow"/>
        </w:rPr>
        <w:t>Directeur Général</w:t>
      </w:r>
    </w:p>
    <w:p w14:paraId="3681DCC4" w14:textId="77777777" w:rsidR="00C70FD1" w:rsidRDefault="00C70FD1" w:rsidP="003D3929">
      <w:pPr>
        <w:jc w:val="both"/>
        <w:rPr>
          <w:rFonts w:ascii="Arial Narrow" w:hAnsi="Arial Narrow"/>
        </w:rPr>
      </w:pPr>
    </w:p>
    <w:p w14:paraId="2EFF24BE" w14:textId="77777777" w:rsidR="00C415E8" w:rsidRDefault="00C415E8" w:rsidP="003D3929">
      <w:pPr>
        <w:jc w:val="both"/>
        <w:rPr>
          <w:rFonts w:ascii="Arial Narrow" w:hAnsi="Arial Narrow"/>
        </w:rPr>
      </w:pPr>
    </w:p>
    <w:p w14:paraId="0D316930" w14:textId="77777777" w:rsidR="000603AF" w:rsidRDefault="000603AF" w:rsidP="003D3929">
      <w:pPr>
        <w:jc w:val="both"/>
        <w:rPr>
          <w:rFonts w:ascii="Arial Narrow" w:hAnsi="Arial Narrow"/>
        </w:rPr>
      </w:pPr>
    </w:p>
    <w:p w14:paraId="3B9D19F3" w14:textId="77777777" w:rsidR="00C415E8" w:rsidRDefault="00C415E8" w:rsidP="003D3929">
      <w:pPr>
        <w:jc w:val="both"/>
        <w:rPr>
          <w:rFonts w:ascii="Arial Narrow" w:hAnsi="Arial Narrow"/>
        </w:rPr>
      </w:pPr>
    </w:p>
    <w:p w14:paraId="14F94C02" w14:textId="77777777" w:rsidR="00671F67" w:rsidRDefault="00671F67" w:rsidP="003D3929">
      <w:pPr>
        <w:jc w:val="both"/>
        <w:rPr>
          <w:rFonts w:ascii="Arial Narrow" w:hAnsi="Arial Narrow"/>
        </w:rPr>
      </w:pPr>
    </w:p>
    <w:p w14:paraId="49F7A636" w14:textId="77777777" w:rsidR="00C70FD1" w:rsidRDefault="00C70FD1" w:rsidP="00B25706">
      <w:pPr>
        <w:rPr>
          <w:rFonts w:ascii="Arial Narrow" w:hAnsi="Arial Narrow"/>
          <w:b/>
        </w:rPr>
      </w:pPr>
      <w:r w:rsidRPr="003D3929">
        <w:rPr>
          <w:rFonts w:ascii="Arial Narrow" w:hAnsi="Arial Narrow"/>
          <w:b/>
        </w:rPr>
        <w:lastRenderedPageBreak/>
        <w:t>Annexe 1 : Modalités d’alimentation et de droit d’option dans le logiciel Hamac</w:t>
      </w:r>
    </w:p>
    <w:p w14:paraId="3CB05124" w14:textId="77777777" w:rsidR="003D3929" w:rsidRPr="003D3929" w:rsidRDefault="003D3929" w:rsidP="003D3929">
      <w:pPr>
        <w:jc w:val="center"/>
        <w:rPr>
          <w:rFonts w:ascii="Arial Narrow" w:hAnsi="Arial Narrow"/>
          <w:b/>
        </w:rPr>
      </w:pPr>
    </w:p>
    <w:p w14:paraId="53259EA7" w14:textId="77777777" w:rsidR="00C70FD1" w:rsidRDefault="00636A85" w:rsidP="003D3929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AA6F4" wp14:editId="0F53B303">
                <wp:simplePos x="0" y="0"/>
                <wp:positionH relativeFrom="column">
                  <wp:posOffset>5891530</wp:posOffset>
                </wp:positionH>
                <wp:positionV relativeFrom="paragraph">
                  <wp:posOffset>313055</wp:posOffset>
                </wp:positionV>
                <wp:extent cx="9525" cy="333375"/>
                <wp:effectExtent l="38100" t="0" r="66675" b="476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AFF6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463.9pt;margin-top:24.65pt;width:.7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223wEAAAcEAAAOAAAAZHJzL2Uyb0RvYy54bWysU9uOEzEMfUfiH6K802mLSqHqdB+6wAuC&#10;FZcPyGacTqTc5Hh7+SP+gx/DyUxnESAkEPPgycXH9jl2tjdn78QRMNsYWrmYzaWAoGNnw6GVXz6/&#10;efZSikwqdMrFAK28QJY3u6dPtqe0gWXso+sABQcJeXNKreyJ0qZpsu7BqzyLCQJfmoheEW/x0HSo&#10;Thzdu2Y5n79oThG7hFFDznx6O1zKXY1vDGj6YEwGEq6VXBtVi9XeF9vstmpzQJV6q8cy1D9U4ZUN&#10;nHQKdatIiQe0v4TyVmPM0dBMR99EY6yGyoHZLOY/sfnUqwSVC4uT0yRT/n9h9fvjHQrbtXItRVCe&#10;W7SPIbBu8ICiw2hJqCNoYdy3r9wUsS6SnVLeMHIf7nDc5XSHhf/ZoC9/ZibOVebLJDOcSWg+fLVa&#10;rqTQfPGcv/WqRGweoQkzvYXoRVm0MhMqe+hpLCviogqtju8yDcAroOR1oVhS1r0OnaBLYkKEVoWD&#10;gzFPcWkKg6HmuqKLgwH+EQzLwVUOaeogwt6hOCoeIaU1BFpMkdi7wIx1bgLOa31/BI7+BQp1SP8G&#10;PCFq5hhoAnsbIv4uO52vJZvB/6rAwLtIcB+7S+1mlYanrfZkfBllnH/cV/jj+919BwAA//8DAFBL&#10;AwQUAAYACAAAACEATVL+dd4AAAAKAQAADwAAAGRycy9kb3ducmV2LnhtbEyPwU7DMAyG70i8Q2Qk&#10;bixdQbCWphNCYkcQgwPcssZLqjVO1WRt4enxTuxmy59+f3+1nn0nRhxiG0jBcpGBQGqCackq+Px4&#10;uVmBiEmT0V0gVPCDEdb15UWlSxMmesdxm6zgEIqlVuBS6kspY+PQ67gIPRLf9mHwOvE6WGkGPXG4&#10;72SeZffS65b4g9M9PjtsDtujV/Bmv0af06aV++L7d2NfzcFNSanrq/npEUTCOf3DcNJndajZaReO&#10;ZKLoFBT5A6snBXfFLQgGivw07JjMliuQdSXPK9R/AAAA//8DAFBLAQItABQABgAIAAAAIQC2gziS&#10;/gAAAOEBAAATAAAAAAAAAAAAAAAAAAAAAABbQ29udGVudF9UeXBlc10ueG1sUEsBAi0AFAAGAAgA&#10;AAAhADj9If/WAAAAlAEAAAsAAAAAAAAAAAAAAAAALwEAAF9yZWxzLy5yZWxzUEsBAi0AFAAGAAgA&#10;AAAhAE6NDbbfAQAABwQAAA4AAAAAAAAAAAAAAAAALgIAAGRycy9lMm9Eb2MueG1sUEsBAi0AFAAG&#10;AAgAAAAhAE1S/nXeAAAACgEAAA8AAAAAAAAAAAAAAAAAOQ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C70FD1">
        <w:rPr>
          <w:rFonts w:ascii="Arial Narrow" w:hAnsi="Arial Narrow"/>
        </w:rPr>
        <w:t>L’agent saisit ses demandes d’alimentation et d’utilisation des jours de CET via Hamac.</w:t>
      </w:r>
    </w:p>
    <w:p w14:paraId="65445EEF" w14:textId="77777777" w:rsidR="00C70FD1" w:rsidRDefault="00C70FD1" w:rsidP="003D3929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Cliquez sur CET</w:t>
      </w:r>
    </w:p>
    <w:p w14:paraId="0AFAD0BE" w14:textId="77777777" w:rsidR="003D3929" w:rsidRDefault="003D3929" w:rsidP="003D3929">
      <w:pPr>
        <w:pStyle w:val="Paragraphedeliste"/>
        <w:jc w:val="both"/>
        <w:rPr>
          <w:rFonts w:ascii="Arial Narrow" w:hAnsi="Arial Narrow"/>
        </w:rPr>
      </w:pPr>
    </w:p>
    <w:p w14:paraId="5326BB4D" w14:textId="77777777" w:rsidR="003D3929" w:rsidRDefault="00636A85" w:rsidP="003D3929">
      <w:pPr>
        <w:pStyle w:val="Paragraphedeliste"/>
        <w:jc w:val="both"/>
        <w:rPr>
          <w:rFonts w:ascii="Arial Narrow" w:hAnsi="Arial Narrow"/>
        </w:rPr>
      </w:pPr>
      <w:r w:rsidRPr="00636A85">
        <w:rPr>
          <w:rFonts w:ascii="Arial Narrow" w:hAnsi="Arial Narrow"/>
          <w:noProof/>
        </w:rPr>
        <w:drawing>
          <wp:inline distT="0" distB="0" distL="0" distR="0" wp14:anchorId="190741CD" wp14:editId="4674026E">
            <wp:extent cx="5760720" cy="48577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C4E3F" w14:textId="77777777" w:rsidR="00C55F16" w:rsidRDefault="00C55F16" w:rsidP="003D3929">
      <w:pPr>
        <w:pStyle w:val="Paragraphedeliste"/>
        <w:jc w:val="both"/>
        <w:rPr>
          <w:rFonts w:ascii="Arial Narrow" w:hAnsi="Arial Narrow"/>
        </w:rPr>
      </w:pPr>
    </w:p>
    <w:p w14:paraId="77826F1F" w14:textId="77777777" w:rsidR="00636A85" w:rsidRPr="00636A85" w:rsidRDefault="00636A85" w:rsidP="00636A85">
      <w:pPr>
        <w:pStyle w:val="Titre1"/>
        <w:rPr>
          <w:sz w:val="24"/>
          <w:szCs w:val="24"/>
          <w:u w:val="single"/>
        </w:rPr>
      </w:pPr>
      <w:r w:rsidRPr="00636A85">
        <w:rPr>
          <w:rFonts w:ascii="Arial Narrow" w:hAnsi="Arial Narrow"/>
          <w:sz w:val="24"/>
          <w:szCs w:val="24"/>
          <w:u w:val="single"/>
        </w:rPr>
        <w:t xml:space="preserve">Affichage du CET </w:t>
      </w:r>
      <w:r w:rsidR="0022669F" w:rsidRPr="00636A85">
        <w:rPr>
          <w:sz w:val="24"/>
          <w:szCs w:val="24"/>
          <w:u w:val="single"/>
        </w:rPr>
        <w:t>≤</w:t>
      </w:r>
      <w:r w:rsidRPr="00636A85">
        <w:rPr>
          <w:sz w:val="24"/>
          <w:szCs w:val="24"/>
          <w:u w:val="single"/>
        </w:rPr>
        <w:t xml:space="preserve"> 15 jours</w:t>
      </w:r>
    </w:p>
    <w:p w14:paraId="61EDE6DB" w14:textId="77777777" w:rsidR="003D3929" w:rsidRDefault="003D3929" w:rsidP="003D3929">
      <w:pPr>
        <w:pStyle w:val="Paragraphedeliste"/>
        <w:jc w:val="both"/>
        <w:rPr>
          <w:rFonts w:ascii="Arial Narrow" w:hAnsi="Arial Narrow"/>
        </w:rPr>
      </w:pPr>
    </w:p>
    <w:p w14:paraId="7EBE3D4A" w14:textId="77777777" w:rsidR="00C70FD1" w:rsidRDefault="00C70FD1" w:rsidP="003D3929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Choisissez le nombre de jour(s)</w:t>
      </w:r>
      <w:r w:rsidR="000A2362">
        <w:rPr>
          <w:rFonts w:ascii="Arial Narrow" w:hAnsi="Arial Narrow"/>
        </w:rPr>
        <w:t xml:space="preserve"> à épargner et cliquez sur « valider »</w:t>
      </w:r>
    </w:p>
    <w:p w14:paraId="63424900" w14:textId="48C03ED7" w:rsidR="003D3929" w:rsidRPr="003D3929" w:rsidRDefault="003C1F98" w:rsidP="00B248B0">
      <w:pPr>
        <w:jc w:val="center"/>
        <w:rPr>
          <w:rFonts w:ascii="Arial Narrow" w:hAnsi="Arial Narrow"/>
        </w:rPr>
      </w:pPr>
      <w:r w:rsidRPr="003C1F98">
        <w:rPr>
          <w:rFonts w:ascii="Arial Narrow" w:hAnsi="Arial Narrow"/>
          <w:noProof/>
        </w:rPr>
        <w:drawing>
          <wp:inline distT="0" distB="0" distL="0" distR="0" wp14:anchorId="1237970C" wp14:editId="79AA7222">
            <wp:extent cx="4267796" cy="828791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76E6E" w14:textId="77777777" w:rsidR="000A2362" w:rsidRDefault="003D3929" w:rsidP="003D3929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</w:rPr>
      </w:pPr>
      <w:r w:rsidRPr="003D3929">
        <w:rPr>
          <w:rFonts w:ascii="Arial Narrow" w:hAnsi="Arial Narrow"/>
          <w:noProof/>
        </w:rPr>
        <w:drawing>
          <wp:anchor distT="0" distB="0" distL="114300" distR="114300" simplePos="0" relativeHeight="251660288" behindDoc="0" locked="0" layoutInCell="1" allowOverlap="1" wp14:anchorId="02C8FEDC" wp14:editId="73E5F0B8">
            <wp:simplePos x="0" y="0"/>
            <wp:positionH relativeFrom="column">
              <wp:posOffset>2052955</wp:posOffset>
            </wp:positionH>
            <wp:positionV relativeFrom="paragraph">
              <wp:posOffset>285115</wp:posOffset>
            </wp:positionV>
            <wp:extent cx="2718435" cy="257175"/>
            <wp:effectExtent l="0" t="0" r="5715" b="9525"/>
            <wp:wrapTopAndBottom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43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362">
        <w:rPr>
          <w:rFonts w:ascii="Arial Narrow" w:hAnsi="Arial Narrow"/>
        </w:rPr>
        <w:t>Cliquez sur « confirmer et enregistrer »</w:t>
      </w:r>
    </w:p>
    <w:p w14:paraId="2F5414E1" w14:textId="77777777" w:rsidR="003D3929" w:rsidRPr="003D3929" w:rsidRDefault="003D3929" w:rsidP="003D3929">
      <w:pPr>
        <w:pStyle w:val="Paragraphedeliste"/>
        <w:rPr>
          <w:rFonts w:ascii="Arial Narrow" w:hAnsi="Arial Narrow"/>
        </w:rPr>
      </w:pPr>
    </w:p>
    <w:p w14:paraId="0A50437B" w14:textId="77777777" w:rsidR="00636A85" w:rsidRPr="00636A85" w:rsidRDefault="00636A85" w:rsidP="00636A85">
      <w:pPr>
        <w:pStyle w:val="Titre1"/>
        <w:rPr>
          <w:sz w:val="24"/>
          <w:szCs w:val="24"/>
          <w:u w:val="single"/>
        </w:rPr>
      </w:pPr>
      <w:r w:rsidRPr="00636A85">
        <w:rPr>
          <w:rFonts w:ascii="Arial Narrow" w:hAnsi="Arial Narrow"/>
          <w:sz w:val="24"/>
          <w:szCs w:val="24"/>
          <w:u w:val="single"/>
        </w:rPr>
        <w:t xml:space="preserve">Affichage du CET </w:t>
      </w:r>
      <w:r w:rsidR="0022669F" w:rsidRPr="00636A85">
        <w:rPr>
          <w:sz w:val="24"/>
          <w:szCs w:val="24"/>
          <w:u w:val="single"/>
        </w:rPr>
        <w:t xml:space="preserve">≥ </w:t>
      </w:r>
      <w:r w:rsidRPr="00636A85">
        <w:rPr>
          <w:sz w:val="24"/>
          <w:szCs w:val="24"/>
          <w:u w:val="single"/>
        </w:rPr>
        <w:t>15 jours</w:t>
      </w:r>
    </w:p>
    <w:p w14:paraId="44397616" w14:textId="77777777" w:rsidR="00636A85" w:rsidRDefault="00636A85" w:rsidP="003D3929">
      <w:pPr>
        <w:pStyle w:val="Paragraphedeliste"/>
        <w:jc w:val="both"/>
        <w:rPr>
          <w:rFonts w:ascii="Arial Narrow" w:hAnsi="Arial Narrow"/>
        </w:rPr>
      </w:pPr>
    </w:p>
    <w:p w14:paraId="6B7410DE" w14:textId="77777777" w:rsidR="008C2B88" w:rsidRDefault="008C2B88" w:rsidP="008C2B88">
      <w:pPr>
        <w:pStyle w:val="Paragraphedeliste"/>
        <w:numPr>
          <w:ilvl w:val="0"/>
          <w:numId w:val="8"/>
        </w:numPr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Choisissez le nombre de jour(s) à épargner et cliquez sur « valider »</w:t>
      </w:r>
    </w:p>
    <w:p w14:paraId="74DD3A0A" w14:textId="50D2C1A9" w:rsidR="00641EB3" w:rsidRDefault="003C1F98" w:rsidP="003C1F98">
      <w:pPr>
        <w:pStyle w:val="Paragraphedeliste"/>
        <w:jc w:val="both"/>
        <w:rPr>
          <w:rFonts w:ascii="Arial Narrow" w:hAnsi="Arial Narrow"/>
        </w:rPr>
      </w:pPr>
      <w:r w:rsidRPr="003C1F98">
        <w:rPr>
          <w:rFonts w:ascii="Arial Narrow" w:hAnsi="Arial Narrow"/>
          <w:noProof/>
        </w:rPr>
        <w:drawing>
          <wp:inline distT="0" distB="0" distL="0" distR="0" wp14:anchorId="1637DF5D" wp14:editId="7880AEE0">
            <wp:extent cx="4267796" cy="828791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C54B9" w14:textId="77777777" w:rsidR="009A5E03" w:rsidRPr="003C1F98" w:rsidRDefault="009A5E03" w:rsidP="003C1F98">
      <w:pPr>
        <w:pStyle w:val="Paragraphedeliste"/>
        <w:jc w:val="both"/>
        <w:rPr>
          <w:rFonts w:ascii="Arial Narrow" w:hAnsi="Arial Narrow"/>
        </w:rPr>
      </w:pPr>
    </w:p>
    <w:p w14:paraId="6FDB66FD" w14:textId="4B215103" w:rsidR="00641EB3" w:rsidRDefault="009A5E03" w:rsidP="00641EB3">
      <w:pPr>
        <w:pStyle w:val="Paragraphedeliste"/>
        <w:numPr>
          <w:ilvl w:val="0"/>
          <w:numId w:val="8"/>
        </w:numPr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Options (</w:t>
      </w:r>
      <w:r w:rsidR="00641EB3">
        <w:rPr>
          <w:rFonts w:ascii="Arial Narrow" w:hAnsi="Arial Narrow"/>
        </w:rPr>
        <w:t>Maintien des jours en CET</w:t>
      </w:r>
      <w:r>
        <w:rPr>
          <w:rFonts w:ascii="Arial Narrow" w:hAnsi="Arial Narrow"/>
        </w:rPr>
        <w:t>, Indemnisation, transfert RAFP)</w:t>
      </w:r>
    </w:p>
    <w:p w14:paraId="4F0AF2CB" w14:textId="77777777" w:rsidR="00641EB3" w:rsidRDefault="00641EB3" w:rsidP="003D3929">
      <w:pPr>
        <w:pStyle w:val="Paragraphedeliste"/>
        <w:jc w:val="both"/>
        <w:rPr>
          <w:rFonts w:ascii="Arial Narrow" w:hAnsi="Arial Narrow"/>
        </w:rPr>
      </w:pPr>
    </w:p>
    <w:p w14:paraId="72112B63" w14:textId="63ED25B4" w:rsidR="00641EB3" w:rsidRDefault="009A5E03" w:rsidP="00641EB3">
      <w:pPr>
        <w:pStyle w:val="Paragraphedeliste"/>
        <w:ind w:left="142"/>
        <w:jc w:val="both"/>
        <w:rPr>
          <w:rFonts w:ascii="Arial Narrow" w:hAnsi="Arial Narrow"/>
        </w:rPr>
      </w:pPr>
      <w:r w:rsidRPr="009A5E03">
        <w:rPr>
          <w:rFonts w:ascii="Arial Narrow" w:hAnsi="Arial Narrow"/>
          <w:noProof/>
        </w:rPr>
        <w:drawing>
          <wp:inline distT="0" distB="0" distL="0" distR="0" wp14:anchorId="1BCC67F9" wp14:editId="5FCA80FE">
            <wp:extent cx="5760720" cy="208597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77DEB" w14:textId="77777777" w:rsidR="00641EB3" w:rsidRDefault="00641EB3" w:rsidP="003D3929">
      <w:pPr>
        <w:pStyle w:val="Paragraphedeliste"/>
        <w:jc w:val="both"/>
        <w:rPr>
          <w:rFonts w:ascii="Arial Narrow" w:hAnsi="Arial Narrow"/>
        </w:rPr>
      </w:pPr>
    </w:p>
    <w:p w14:paraId="74C04037" w14:textId="77777777" w:rsidR="00641EB3" w:rsidRDefault="00641EB3" w:rsidP="003D3929">
      <w:pPr>
        <w:pStyle w:val="Paragraphedeliste"/>
        <w:jc w:val="both"/>
        <w:rPr>
          <w:rFonts w:ascii="Arial Narrow" w:hAnsi="Arial Narrow"/>
        </w:rPr>
      </w:pPr>
    </w:p>
    <w:p w14:paraId="0E6C647D" w14:textId="77777777" w:rsidR="00641EB3" w:rsidRDefault="00641EB3" w:rsidP="003D3929">
      <w:pPr>
        <w:pStyle w:val="Paragraphedeliste"/>
        <w:jc w:val="both"/>
        <w:rPr>
          <w:rFonts w:ascii="Arial Narrow" w:hAnsi="Arial Narrow"/>
        </w:rPr>
      </w:pPr>
    </w:p>
    <w:p w14:paraId="6F57C62E" w14:textId="77777777" w:rsidR="00641EB3" w:rsidRDefault="00641EB3" w:rsidP="003D3929">
      <w:pPr>
        <w:pStyle w:val="Paragraphedeliste"/>
        <w:jc w:val="both"/>
        <w:rPr>
          <w:rFonts w:ascii="Arial Narrow" w:hAnsi="Arial Narrow"/>
        </w:rPr>
      </w:pPr>
    </w:p>
    <w:p w14:paraId="155ACA73" w14:textId="1012E6B6" w:rsidR="000A2362" w:rsidRPr="009A5E03" w:rsidRDefault="009A5E03" w:rsidP="009A5E0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 w:rsidR="000A2362" w:rsidRPr="009A5E03">
        <w:rPr>
          <w:rFonts w:ascii="Arial Narrow" w:hAnsi="Arial Narrow"/>
        </w:rPr>
        <w:t>Lorsque votre saisie est terminée (demande d’alimentation et éventuellement droit d’option), imprimez votre « demande CET en PDF »</w:t>
      </w:r>
    </w:p>
    <w:p w14:paraId="57155B71" w14:textId="77777777" w:rsidR="000A2362" w:rsidRDefault="000A2362" w:rsidP="006746C9">
      <w:pPr>
        <w:pStyle w:val="Paragraphedeliste"/>
        <w:numPr>
          <w:ilvl w:val="0"/>
          <w:numId w:val="9"/>
        </w:numPr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Signez votre demande de CET</w:t>
      </w:r>
    </w:p>
    <w:p w14:paraId="6961EAB2" w14:textId="77777777" w:rsidR="000A2362" w:rsidRDefault="000A2362" w:rsidP="006746C9">
      <w:pPr>
        <w:pStyle w:val="Paragraphedeliste"/>
        <w:numPr>
          <w:ilvl w:val="0"/>
          <w:numId w:val="9"/>
        </w:numPr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Votre demande de CET doit être signée et validée par votre supérieur hiérarchique</w:t>
      </w:r>
    </w:p>
    <w:p w14:paraId="6C759709" w14:textId="77777777" w:rsidR="000A2362" w:rsidRDefault="000A2362" w:rsidP="006746C9">
      <w:pPr>
        <w:pStyle w:val="Paragraphedeliste"/>
        <w:numPr>
          <w:ilvl w:val="0"/>
          <w:numId w:val="9"/>
        </w:numPr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Transmettez votre demande de CET au pôle des Ressources Humaines soit par courrier interne, soit par mail à </w:t>
      </w:r>
      <w:hyperlink r:id="rId13" w:history="1">
        <w:r w:rsidRPr="00520E97">
          <w:rPr>
            <w:rStyle w:val="Lienhypertexte"/>
            <w:rFonts w:ascii="Arial Narrow" w:hAnsi="Arial Narrow"/>
          </w:rPr>
          <w:t>pole.rh@centralelille.fr</w:t>
        </w:r>
      </w:hyperlink>
    </w:p>
    <w:p w14:paraId="76303571" w14:textId="77777777" w:rsidR="000A2362" w:rsidRDefault="000A2362" w:rsidP="003D3929">
      <w:pPr>
        <w:jc w:val="both"/>
        <w:rPr>
          <w:rFonts w:ascii="Arial Narrow" w:hAnsi="Arial Narrow"/>
        </w:rPr>
      </w:pPr>
    </w:p>
    <w:p w14:paraId="53137968" w14:textId="77777777" w:rsidR="00671F67" w:rsidRDefault="00671F67" w:rsidP="003D3929">
      <w:pPr>
        <w:jc w:val="both"/>
        <w:rPr>
          <w:rFonts w:ascii="Arial Narrow" w:hAnsi="Arial Narrow"/>
        </w:rPr>
      </w:pPr>
    </w:p>
    <w:p w14:paraId="2D257555" w14:textId="7FCB2D9D" w:rsidR="000A2362" w:rsidRDefault="0093032E" w:rsidP="003D392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0A2362" w:rsidRPr="003D3929">
        <w:rPr>
          <w:rFonts w:ascii="Arial Narrow" w:hAnsi="Arial Narrow"/>
          <w:b/>
        </w:rPr>
        <w:t>nnexe 2 : Calendrier 202</w:t>
      </w:r>
      <w:r w:rsidR="00B25706">
        <w:rPr>
          <w:rFonts w:ascii="Arial Narrow" w:hAnsi="Arial Narrow"/>
          <w:b/>
        </w:rPr>
        <w:t>5</w:t>
      </w:r>
    </w:p>
    <w:p w14:paraId="1112FC99" w14:textId="77777777" w:rsidR="003D3929" w:rsidRDefault="003D3929" w:rsidP="003D3929">
      <w:pPr>
        <w:jc w:val="center"/>
        <w:rPr>
          <w:rFonts w:ascii="Arial Narrow" w:hAnsi="Arial Narrow"/>
          <w:b/>
        </w:rPr>
      </w:pPr>
    </w:p>
    <w:p w14:paraId="20712E55" w14:textId="77777777" w:rsidR="003D3929" w:rsidRPr="003D3929" w:rsidRDefault="003D3929" w:rsidP="003D3929">
      <w:pPr>
        <w:jc w:val="center"/>
        <w:rPr>
          <w:rFonts w:ascii="Arial Narrow" w:hAnsi="Arial Narrow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2362" w14:paraId="73052856" w14:textId="77777777" w:rsidTr="000A2362">
        <w:tc>
          <w:tcPr>
            <w:tcW w:w="4531" w:type="dxa"/>
          </w:tcPr>
          <w:p w14:paraId="310B47EC" w14:textId="3CA3D379" w:rsidR="000A2362" w:rsidRDefault="000603AF" w:rsidP="003D39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B25706">
              <w:rPr>
                <w:rFonts w:ascii="Arial Narrow" w:hAnsi="Arial Narrow"/>
              </w:rPr>
              <w:t>3</w:t>
            </w:r>
            <w:r w:rsidR="00CC7B0E">
              <w:rPr>
                <w:rFonts w:ascii="Arial Narrow" w:hAnsi="Arial Narrow"/>
              </w:rPr>
              <w:t>/10/202</w:t>
            </w:r>
            <w:r w:rsidR="00B25706">
              <w:rPr>
                <w:rFonts w:ascii="Arial Narrow" w:hAnsi="Arial Narrow"/>
              </w:rPr>
              <w:t>5</w:t>
            </w:r>
          </w:p>
        </w:tc>
        <w:tc>
          <w:tcPr>
            <w:tcW w:w="4531" w:type="dxa"/>
          </w:tcPr>
          <w:p w14:paraId="18D308CC" w14:textId="77777777" w:rsidR="000A2362" w:rsidRDefault="000A2362" w:rsidP="003D39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Ouverture de la campagne CET</w:t>
            </w:r>
          </w:p>
        </w:tc>
      </w:tr>
      <w:tr w:rsidR="000A2362" w14:paraId="54A86156" w14:textId="77777777" w:rsidTr="000A2362">
        <w:tc>
          <w:tcPr>
            <w:tcW w:w="4531" w:type="dxa"/>
          </w:tcPr>
          <w:p w14:paraId="27E96E38" w14:textId="07EE8220" w:rsidR="000A2362" w:rsidRDefault="00671F67" w:rsidP="003D3929">
            <w:pPr>
              <w:jc w:val="both"/>
              <w:rPr>
                <w:rFonts w:ascii="Arial Narrow" w:hAnsi="Arial Narrow"/>
              </w:rPr>
            </w:pPr>
            <w:r w:rsidRPr="0093032E">
              <w:rPr>
                <w:rFonts w:ascii="Arial Narrow" w:hAnsi="Arial Narrow"/>
              </w:rPr>
              <w:t>31</w:t>
            </w:r>
            <w:r w:rsidR="00CC7B0E" w:rsidRPr="0093032E">
              <w:rPr>
                <w:rFonts w:ascii="Arial Narrow" w:hAnsi="Arial Narrow"/>
              </w:rPr>
              <w:t>/10/202</w:t>
            </w:r>
            <w:r w:rsidR="00B25706">
              <w:rPr>
                <w:rFonts w:ascii="Arial Narrow" w:hAnsi="Arial Narrow"/>
              </w:rPr>
              <w:t>5</w:t>
            </w:r>
          </w:p>
        </w:tc>
        <w:tc>
          <w:tcPr>
            <w:tcW w:w="4531" w:type="dxa"/>
          </w:tcPr>
          <w:p w14:paraId="4136214D" w14:textId="77777777" w:rsidR="000A2362" w:rsidRDefault="000A2362" w:rsidP="003D39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limite de retour du formulaire d’alimentation et d’option au pôle RH pour </w:t>
            </w:r>
            <w:r w:rsidRPr="003D3929">
              <w:rPr>
                <w:rFonts w:ascii="Arial Narrow" w:hAnsi="Arial Narrow"/>
                <w:b/>
              </w:rPr>
              <w:t>les agents souhaitant une indemnisation sur la paie de décembre</w:t>
            </w:r>
          </w:p>
        </w:tc>
      </w:tr>
      <w:tr w:rsidR="000A2362" w14:paraId="0A5A5936" w14:textId="77777777" w:rsidTr="000A2362">
        <w:tc>
          <w:tcPr>
            <w:tcW w:w="4531" w:type="dxa"/>
          </w:tcPr>
          <w:p w14:paraId="5AAAFC54" w14:textId="5C195B5B" w:rsidR="000A2362" w:rsidRDefault="00CC7B0E" w:rsidP="003D39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B25706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/12/202</w:t>
            </w:r>
            <w:r w:rsidR="00B25706">
              <w:rPr>
                <w:rFonts w:ascii="Arial Narrow" w:hAnsi="Arial Narrow"/>
              </w:rPr>
              <w:t>5</w:t>
            </w:r>
          </w:p>
          <w:p w14:paraId="6C9F056B" w14:textId="77777777" w:rsidR="00B71475" w:rsidRDefault="00B71475" w:rsidP="003D3929">
            <w:pPr>
              <w:jc w:val="both"/>
              <w:rPr>
                <w:rFonts w:ascii="Arial Narrow" w:hAnsi="Arial Narrow"/>
              </w:rPr>
            </w:pPr>
          </w:p>
          <w:p w14:paraId="2B9FD115" w14:textId="77777777" w:rsidR="00B71475" w:rsidRDefault="00B71475" w:rsidP="003D3929">
            <w:pPr>
              <w:jc w:val="both"/>
              <w:rPr>
                <w:rFonts w:ascii="Arial Narrow" w:hAnsi="Arial Narrow"/>
              </w:rPr>
            </w:pPr>
          </w:p>
          <w:p w14:paraId="2D24EC2B" w14:textId="77777777" w:rsidR="00B71475" w:rsidRDefault="00B71475" w:rsidP="003D39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14:paraId="7C8509C8" w14:textId="77777777" w:rsidR="000A2362" w:rsidRDefault="000A2362" w:rsidP="003D39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limite de retour du formulaire d’alimentation et d’option au pôle RH pour les agents ne souhaitant pas d’indemnisation </w:t>
            </w:r>
          </w:p>
          <w:p w14:paraId="16D52788" w14:textId="77777777" w:rsidR="00B71475" w:rsidRDefault="00B71475" w:rsidP="003D39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limite de retour des demandes exceptionnelles de report de congés</w:t>
            </w:r>
          </w:p>
        </w:tc>
      </w:tr>
      <w:tr w:rsidR="000A2362" w14:paraId="25E0EF8D" w14:textId="77777777" w:rsidTr="000A2362">
        <w:tc>
          <w:tcPr>
            <w:tcW w:w="4531" w:type="dxa"/>
          </w:tcPr>
          <w:p w14:paraId="471D2710" w14:textId="516FEFA7" w:rsidR="000A2362" w:rsidRDefault="00CC7B0E" w:rsidP="003D39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 décembre 202</w:t>
            </w:r>
            <w:r w:rsidR="00B25706">
              <w:rPr>
                <w:rFonts w:ascii="Arial Narrow" w:hAnsi="Arial Narrow"/>
              </w:rPr>
              <w:t>5</w:t>
            </w:r>
          </w:p>
        </w:tc>
        <w:tc>
          <w:tcPr>
            <w:tcW w:w="4531" w:type="dxa"/>
          </w:tcPr>
          <w:p w14:paraId="44705E5D" w14:textId="77777777" w:rsidR="000A2362" w:rsidRDefault="0039147D" w:rsidP="003D39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Indemnisation du CET sur la paye de décembre</w:t>
            </w:r>
          </w:p>
        </w:tc>
      </w:tr>
    </w:tbl>
    <w:p w14:paraId="4152BEED" w14:textId="77777777" w:rsidR="000A2362" w:rsidRPr="000A2362" w:rsidRDefault="000A2362" w:rsidP="003D3929">
      <w:pPr>
        <w:jc w:val="both"/>
        <w:rPr>
          <w:rFonts w:ascii="Arial Narrow" w:hAnsi="Arial Narrow"/>
        </w:rPr>
      </w:pPr>
    </w:p>
    <w:p w14:paraId="1E73679C" w14:textId="77777777" w:rsidR="000A2362" w:rsidRDefault="000A2362" w:rsidP="003D3929">
      <w:pPr>
        <w:jc w:val="both"/>
        <w:rPr>
          <w:rFonts w:ascii="Arial Narrow" w:hAnsi="Arial Narrow"/>
        </w:rPr>
      </w:pPr>
    </w:p>
    <w:p w14:paraId="4C5A9986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4AC078F4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54ED0939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2487AEB8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0446889D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20F39241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3B3E8953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69271A74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1C2EC429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49282193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239CE596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55207585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59495AD6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6E2EB6AE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3EC40D8F" w14:textId="77777777" w:rsidR="0039147D" w:rsidRPr="003D3929" w:rsidRDefault="0039147D" w:rsidP="009A5E03">
      <w:pPr>
        <w:rPr>
          <w:rFonts w:ascii="Arial Narrow" w:hAnsi="Arial Narrow"/>
          <w:b/>
        </w:rPr>
      </w:pPr>
      <w:r w:rsidRPr="003D3929">
        <w:rPr>
          <w:rFonts w:ascii="Arial Narrow" w:hAnsi="Arial Narrow"/>
          <w:b/>
        </w:rPr>
        <w:t>Annexe 3 : Utilisation des jours de CET sous forme de congés</w:t>
      </w:r>
    </w:p>
    <w:p w14:paraId="0248FEB2" w14:textId="77777777" w:rsidR="0039147D" w:rsidRDefault="0039147D" w:rsidP="003D3929">
      <w:pPr>
        <w:jc w:val="both"/>
        <w:rPr>
          <w:rFonts w:ascii="Arial Narrow" w:hAnsi="Arial Narrow"/>
        </w:rPr>
      </w:pPr>
    </w:p>
    <w:p w14:paraId="455F9AAD" w14:textId="77777777" w:rsidR="003D3929" w:rsidRDefault="003D3929" w:rsidP="003D3929">
      <w:pPr>
        <w:jc w:val="both"/>
        <w:rPr>
          <w:rFonts w:ascii="Arial Narrow" w:hAnsi="Arial Narrow"/>
        </w:rPr>
      </w:pPr>
    </w:p>
    <w:p w14:paraId="7FBDB889" w14:textId="77777777" w:rsidR="0039147D" w:rsidRDefault="0039147D" w:rsidP="003D39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Comment poser ses jours de CET en congés ?</w:t>
      </w:r>
    </w:p>
    <w:p w14:paraId="2C5D60DF" w14:textId="77777777" w:rsidR="0039147D" w:rsidRDefault="0039147D" w:rsidP="003D39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L’agent peut effectuer sa demande sous hamac (saisie d’une occupation, choix « CET »)</w:t>
      </w:r>
    </w:p>
    <w:p w14:paraId="155A23A8" w14:textId="77777777" w:rsidR="003D3929" w:rsidRDefault="008D4744" w:rsidP="003D3929">
      <w:pPr>
        <w:jc w:val="both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09609CBF" wp14:editId="5A6A00CF">
            <wp:extent cx="3143250" cy="25431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59203" t="17851" r="25777" b="38172"/>
                    <a:stretch/>
                  </pic:blipFill>
                  <pic:spPr bwMode="auto">
                    <a:xfrm>
                      <a:off x="0" y="0"/>
                      <a:ext cx="3144212" cy="2543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692F0" w14:textId="77777777" w:rsidR="0039147D" w:rsidRDefault="0039147D" w:rsidP="003D39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La demande sera visée par le supérieur hiérarchique puis validée par le pôle RH. Cette durée de congé correspond à une période d’activité. L’agent conserve sa rémunération, son avancement et ses droits à la retraite.</w:t>
      </w:r>
    </w:p>
    <w:p w14:paraId="030FCFCB" w14:textId="77777777" w:rsidR="0039147D" w:rsidRPr="000A2362" w:rsidRDefault="0039147D" w:rsidP="003D3929">
      <w:pPr>
        <w:jc w:val="both"/>
        <w:rPr>
          <w:rFonts w:ascii="Arial Narrow" w:hAnsi="Arial Narrow"/>
        </w:rPr>
      </w:pPr>
    </w:p>
    <w:p w14:paraId="10A3409E" w14:textId="77777777" w:rsidR="000A2362" w:rsidRPr="000A2362" w:rsidRDefault="000A2362" w:rsidP="003D3929">
      <w:pPr>
        <w:jc w:val="both"/>
        <w:rPr>
          <w:rFonts w:ascii="Arial Narrow" w:hAnsi="Arial Narrow"/>
        </w:rPr>
      </w:pPr>
    </w:p>
    <w:sectPr w:rsidR="000A2362" w:rsidRPr="000A2362" w:rsidSect="009A73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FF2C" w14:textId="77777777" w:rsidR="004B2755" w:rsidRDefault="004B2755" w:rsidP="0039147D">
      <w:pPr>
        <w:spacing w:after="0" w:line="240" w:lineRule="auto"/>
      </w:pPr>
      <w:r>
        <w:separator/>
      </w:r>
    </w:p>
  </w:endnote>
  <w:endnote w:type="continuationSeparator" w:id="0">
    <w:p w14:paraId="6D5FD888" w14:textId="77777777" w:rsidR="004B2755" w:rsidRDefault="004B2755" w:rsidP="0039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B4C3" w14:textId="77777777" w:rsidR="009A732A" w:rsidRDefault="009A73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B686" w14:textId="77777777" w:rsidR="009A732A" w:rsidRDefault="009A732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21AC11FE" w14:textId="77777777" w:rsidR="0039147D" w:rsidRDefault="0039147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7438" w14:textId="77777777" w:rsidR="009A732A" w:rsidRDefault="009A73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F299" w14:textId="77777777" w:rsidR="004B2755" w:rsidRDefault="004B2755" w:rsidP="0039147D">
      <w:pPr>
        <w:spacing w:after="0" w:line="240" w:lineRule="auto"/>
      </w:pPr>
      <w:r>
        <w:separator/>
      </w:r>
    </w:p>
  </w:footnote>
  <w:footnote w:type="continuationSeparator" w:id="0">
    <w:p w14:paraId="2B430331" w14:textId="77777777" w:rsidR="004B2755" w:rsidRDefault="004B2755" w:rsidP="0039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C306" w14:textId="77777777" w:rsidR="009A732A" w:rsidRDefault="009A73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6C6E" w14:textId="77777777" w:rsidR="009A732A" w:rsidRDefault="009A732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C452" w14:textId="77777777" w:rsidR="009A732A" w:rsidRDefault="009A73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499"/>
    <w:multiLevelType w:val="hybridMultilevel"/>
    <w:tmpl w:val="1808318C"/>
    <w:lvl w:ilvl="0" w:tplc="150028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2492C"/>
    <w:multiLevelType w:val="hybridMultilevel"/>
    <w:tmpl w:val="C52A59D6"/>
    <w:lvl w:ilvl="0" w:tplc="7904FE0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55A4D"/>
    <w:multiLevelType w:val="hybridMultilevel"/>
    <w:tmpl w:val="0FD83AA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C13B7"/>
    <w:multiLevelType w:val="hybridMultilevel"/>
    <w:tmpl w:val="7E4A6088"/>
    <w:lvl w:ilvl="0" w:tplc="800A8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E7051D"/>
    <w:multiLevelType w:val="hybridMultilevel"/>
    <w:tmpl w:val="894A7754"/>
    <w:lvl w:ilvl="0" w:tplc="2984F344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E4577B"/>
    <w:multiLevelType w:val="hybridMultilevel"/>
    <w:tmpl w:val="38B85C22"/>
    <w:lvl w:ilvl="0" w:tplc="2670168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7C7B07"/>
    <w:multiLevelType w:val="hybridMultilevel"/>
    <w:tmpl w:val="F84AE3AC"/>
    <w:lvl w:ilvl="0" w:tplc="060C6C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E2661"/>
    <w:multiLevelType w:val="hybridMultilevel"/>
    <w:tmpl w:val="0FD83AA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554F0"/>
    <w:multiLevelType w:val="hybridMultilevel"/>
    <w:tmpl w:val="5CA8FC0E"/>
    <w:lvl w:ilvl="0" w:tplc="EF263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06"/>
    <w:rsid w:val="000116AC"/>
    <w:rsid w:val="000371BF"/>
    <w:rsid w:val="000603AF"/>
    <w:rsid w:val="000A2362"/>
    <w:rsid w:val="000F3C83"/>
    <w:rsid w:val="001300B2"/>
    <w:rsid w:val="00130A46"/>
    <w:rsid w:val="00133485"/>
    <w:rsid w:val="0022669F"/>
    <w:rsid w:val="002517B4"/>
    <w:rsid w:val="002702ED"/>
    <w:rsid w:val="0027089B"/>
    <w:rsid w:val="00291275"/>
    <w:rsid w:val="00337D90"/>
    <w:rsid w:val="0036052F"/>
    <w:rsid w:val="003625E4"/>
    <w:rsid w:val="0038408B"/>
    <w:rsid w:val="0039147D"/>
    <w:rsid w:val="003C1F98"/>
    <w:rsid w:val="003C5AD2"/>
    <w:rsid w:val="003D3929"/>
    <w:rsid w:val="003E4520"/>
    <w:rsid w:val="003F2D63"/>
    <w:rsid w:val="00485A30"/>
    <w:rsid w:val="004B2755"/>
    <w:rsid w:val="004B2F8C"/>
    <w:rsid w:val="004B7E52"/>
    <w:rsid w:val="00544F10"/>
    <w:rsid w:val="005B3ED1"/>
    <w:rsid w:val="005D692A"/>
    <w:rsid w:val="00611408"/>
    <w:rsid w:val="00615B06"/>
    <w:rsid w:val="00625EF8"/>
    <w:rsid w:val="00636A85"/>
    <w:rsid w:val="00636B24"/>
    <w:rsid w:val="00641EB3"/>
    <w:rsid w:val="00653078"/>
    <w:rsid w:val="00657E01"/>
    <w:rsid w:val="00671F67"/>
    <w:rsid w:val="006737D5"/>
    <w:rsid w:val="006746C9"/>
    <w:rsid w:val="006B422C"/>
    <w:rsid w:val="006D3FE6"/>
    <w:rsid w:val="006E6CE3"/>
    <w:rsid w:val="007324A5"/>
    <w:rsid w:val="007A3FF0"/>
    <w:rsid w:val="007E1990"/>
    <w:rsid w:val="008064A4"/>
    <w:rsid w:val="008702BC"/>
    <w:rsid w:val="008844A7"/>
    <w:rsid w:val="008B43F2"/>
    <w:rsid w:val="008C2B88"/>
    <w:rsid w:val="008D4744"/>
    <w:rsid w:val="0093032E"/>
    <w:rsid w:val="00941293"/>
    <w:rsid w:val="009A5E03"/>
    <w:rsid w:val="009A732A"/>
    <w:rsid w:val="00A169FD"/>
    <w:rsid w:val="00A200D0"/>
    <w:rsid w:val="00A6084C"/>
    <w:rsid w:val="00A9037E"/>
    <w:rsid w:val="00AC63F7"/>
    <w:rsid w:val="00AE061A"/>
    <w:rsid w:val="00B248B0"/>
    <w:rsid w:val="00B25706"/>
    <w:rsid w:val="00B5441B"/>
    <w:rsid w:val="00B71475"/>
    <w:rsid w:val="00BA4E68"/>
    <w:rsid w:val="00BE72E0"/>
    <w:rsid w:val="00BF6A57"/>
    <w:rsid w:val="00C415E8"/>
    <w:rsid w:val="00C55F16"/>
    <w:rsid w:val="00C70FD1"/>
    <w:rsid w:val="00C821FD"/>
    <w:rsid w:val="00CA118E"/>
    <w:rsid w:val="00CC7B0E"/>
    <w:rsid w:val="00D06A6D"/>
    <w:rsid w:val="00D36606"/>
    <w:rsid w:val="00D5253E"/>
    <w:rsid w:val="00D622EC"/>
    <w:rsid w:val="00D7722D"/>
    <w:rsid w:val="00DA2AC3"/>
    <w:rsid w:val="00DF7AF0"/>
    <w:rsid w:val="00E15A69"/>
    <w:rsid w:val="00EE5175"/>
    <w:rsid w:val="00F07C62"/>
    <w:rsid w:val="00F41CA3"/>
    <w:rsid w:val="00F66CFB"/>
    <w:rsid w:val="00F757F2"/>
    <w:rsid w:val="00F83697"/>
    <w:rsid w:val="00F877F3"/>
    <w:rsid w:val="00F95062"/>
    <w:rsid w:val="00FD0ACE"/>
    <w:rsid w:val="00FE4C26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896350"/>
  <w15:chartTrackingRefBased/>
  <w15:docId w15:val="{D742E066-8083-4EF6-89CD-EF2D6F88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36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5B0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B3E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3ED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7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9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147D"/>
  </w:style>
  <w:style w:type="paragraph" w:styleId="Pieddepage">
    <w:name w:val="footer"/>
    <w:basedOn w:val="Normal"/>
    <w:link w:val="PieddepageCar"/>
    <w:uiPriority w:val="99"/>
    <w:unhideWhenUsed/>
    <w:rsid w:val="0039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147D"/>
  </w:style>
  <w:style w:type="paragraph" w:styleId="Textedebulles">
    <w:name w:val="Balloon Text"/>
    <w:basedOn w:val="Normal"/>
    <w:link w:val="TextedebullesCar"/>
    <w:uiPriority w:val="99"/>
    <w:semiHidden/>
    <w:unhideWhenUsed/>
    <w:rsid w:val="00C5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F16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636A85"/>
  </w:style>
  <w:style w:type="character" w:customStyle="1" w:styleId="Titre1Car">
    <w:name w:val="Titre 1 Car"/>
    <w:basedOn w:val="Policepardfaut"/>
    <w:link w:val="Titre1"/>
    <w:uiPriority w:val="9"/>
    <w:rsid w:val="00636A8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fp.fr" TargetMode="External"/><Relationship Id="rId13" Type="http://schemas.openxmlformats.org/officeDocument/2006/relationships/hyperlink" Target="mailto:pole.rh@centralelille.f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1728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Centrale Lille Institut</Company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Vanpeperstraete</dc:creator>
  <cp:keywords/>
  <dc:description/>
  <cp:lastModifiedBy>Maud Brackman</cp:lastModifiedBy>
  <cp:revision>7</cp:revision>
  <cp:lastPrinted>2024-10-15T15:25:00Z</cp:lastPrinted>
  <dcterms:created xsi:type="dcterms:W3CDTF">2025-10-02T12:26:00Z</dcterms:created>
  <dcterms:modified xsi:type="dcterms:W3CDTF">2025-10-06T10:02:00Z</dcterms:modified>
</cp:coreProperties>
</file>